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CE" w:rsidRPr="00F477CE" w:rsidRDefault="00F477CE" w:rsidP="00F477CE">
      <w:pPr>
        <w:keepNext/>
        <w:spacing w:line="360" w:lineRule="auto"/>
        <w:jc w:val="center"/>
        <w:outlineLvl w:val="0"/>
        <w:rPr>
          <w:rFonts w:ascii="宋体" w:eastAsia="宋体" w:hAnsi="宋体" w:cs="Times New Roman"/>
          <w:b/>
          <w:sz w:val="28"/>
          <w:szCs w:val="32"/>
        </w:rPr>
      </w:pPr>
      <w:bookmarkStart w:id="0" w:name="_Toc13034723"/>
      <w:r w:rsidRPr="00F477CE">
        <w:rPr>
          <w:rFonts w:ascii="宋体" w:eastAsia="宋体" w:hAnsi="宋体" w:cs="Times New Roman" w:hint="eastAsia"/>
          <w:b/>
          <w:sz w:val="28"/>
          <w:szCs w:val="32"/>
        </w:rPr>
        <w:t>五.采购需求</w:t>
      </w:r>
      <w:bookmarkEnd w:id="0"/>
    </w:p>
    <w:p w:rsidR="00F477CE" w:rsidRPr="00F477CE" w:rsidRDefault="00B8352A" w:rsidP="00F477CE">
      <w:pPr>
        <w:spacing w:line="360" w:lineRule="auto"/>
        <w:rPr>
          <w:rFonts w:ascii="宋体" w:eastAsia="宋体" w:hAnsi="宋体" w:cs="Times New Roman"/>
          <w:sz w:val="24"/>
          <w:szCs w:val="28"/>
        </w:rPr>
      </w:pPr>
      <w:r>
        <w:rPr>
          <w:rFonts w:ascii="宋体" w:eastAsia="宋体" w:hAnsi="宋体" w:cs="Times New Roman" w:hint="eastAsia"/>
          <w:sz w:val="24"/>
          <w:szCs w:val="28"/>
        </w:rPr>
        <w:t>（</w:t>
      </w:r>
      <w:r w:rsidR="00F477CE" w:rsidRPr="00F477CE">
        <w:rPr>
          <w:rFonts w:ascii="宋体" w:eastAsia="宋体" w:hAnsi="宋体" w:cs="Times New Roman" w:hint="eastAsia"/>
          <w:sz w:val="24"/>
          <w:szCs w:val="28"/>
        </w:rPr>
        <w:t>一</w:t>
      </w:r>
      <w:r>
        <w:rPr>
          <w:rFonts w:ascii="宋体" w:eastAsia="宋体" w:hAnsi="宋体" w:cs="Times New Roman" w:hint="eastAsia"/>
          <w:sz w:val="24"/>
          <w:szCs w:val="28"/>
        </w:rPr>
        <w:t>）</w:t>
      </w:r>
      <w:r w:rsidR="00F477CE" w:rsidRPr="00F477CE">
        <w:rPr>
          <w:rFonts w:ascii="宋体" w:eastAsia="宋体" w:hAnsi="宋体" w:cs="Times New Roman" w:hint="eastAsia"/>
          <w:sz w:val="24"/>
          <w:szCs w:val="28"/>
        </w:rPr>
        <w:t>、前注：</w:t>
      </w:r>
    </w:p>
    <w:p w:rsidR="00F477CE" w:rsidRPr="00F477CE" w:rsidRDefault="00F477CE" w:rsidP="00F477CE">
      <w:pPr>
        <w:spacing w:line="360" w:lineRule="auto"/>
        <w:rPr>
          <w:rFonts w:ascii="宋体" w:eastAsia="宋体" w:hAnsi="宋体" w:cs="Times New Roman"/>
          <w:sz w:val="24"/>
          <w:szCs w:val="28"/>
        </w:rPr>
      </w:pPr>
      <w:r w:rsidRPr="00F477CE">
        <w:rPr>
          <w:rFonts w:ascii="宋体" w:eastAsia="宋体" w:hAnsi="宋体" w:cs="Times New Roman" w:hint="eastAsia"/>
          <w:sz w:val="24"/>
          <w:szCs w:val="28"/>
        </w:rPr>
        <w:t>1</w:t>
      </w:r>
      <w:r w:rsidRPr="00F477CE">
        <w:rPr>
          <w:rFonts w:ascii="宋体" w:eastAsia="宋体" w:hAnsi="宋体" w:cs="Times New Roman"/>
          <w:sz w:val="24"/>
          <w:szCs w:val="28"/>
        </w:rPr>
        <w:t>、</w:t>
      </w:r>
      <w:proofErr w:type="gramStart"/>
      <w:r w:rsidRPr="00F477CE">
        <w:rPr>
          <w:rFonts w:ascii="宋体" w:eastAsia="宋体" w:hAnsi="宋体" w:cs="Times New Roman" w:hint="eastAsia"/>
          <w:sz w:val="24"/>
          <w:szCs w:val="28"/>
        </w:rPr>
        <w:t>本说明</w:t>
      </w:r>
      <w:proofErr w:type="gramEnd"/>
      <w:r w:rsidRPr="00F477CE">
        <w:rPr>
          <w:rFonts w:ascii="宋体" w:eastAsia="宋体" w:hAnsi="宋体" w:cs="Times New Roman" w:hint="eastAsia"/>
          <w:sz w:val="24"/>
          <w:szCs w:val="28"/>
        </w:rPr>
        <w:t>中提出的技术方案仅为参考，如无明确限制，供应商可以进行优化，提供满足用户实际需要的更优（或者性能实质上不低于的）服务方案，</w:t>
      </w:r>
      <w:r w:rsidRPr="00F477CE">
        <w:rPr>
          <w:rFonts w:ascii="宋体" w:eastAsia="宋体" w:hAnsi="宋体" w:cs="Times New Roman" w:hint="eastAsia"/>
          <w:sz w:val="24"/>
          <w:szCs w:val="24"/>
        </w:rPr>
        <w:t>且此方案须经磋商小组评审认可；</w:t>
      </w:r>
      <w:r w:rsidRPr="00F477CE">
        <w:rPr>
          <w:rFonts w:ascii="宋体" w:eastAsia="宋体" w:hAnsi="宋体" w:cs="Times New Roman" w:hint="eastAsia"/>
          <w:sz w:val="24"/>
          <w:szCs w:val="24"/>
        </w:rPr>
        <w:cr/>
      </w:r>
      <w:r w:rsidRPr="00F477CE">
        <w:rPr>
          <w:rFonts w:ascii="宋体" w:eastAsia="宋体" w:hAnsi="宋体" w:cs="Times New Roman" w:hint="eastAsia"/>
          <w:sz w:val="24"/>
          <w:szCs w:val="28"/>
        </w:rPr>
        <w:t>2</w:t>
      </w:r>
      <w:r w:rsidRPr="00F477CE">
        <w:rPr>
          <w:rFonts w:ascii="宋体" w:eastAsia="宋体" w:hAnsi="宋体" w:cs="Times New Roman"/>
          <w:sz w:val="24"/>
          <w:szCs w:val="28"/>
        </w:rPr>
        <w:t>、</w:t>
      </w:r>
      <w:r w:rsidRPr="00F477CE">
        <w:rPr>
          <w:rFonts w:ascii="宋体" w:eastAsia="宋体" w:hAnsi="宋体" w:cs="Times New Roman" w:hint="eastAsia"/>
          <w:sz w:val="24"/>
          <w:szCs w:val="28"/>
        </w:rPr>
        <w:t>供应商应当在响应文件中列出完成本项目并通过验收所需的所有各项服务等全部费用。成交供应商必须确保整体通过用户方及有关主管部门验收；供应商应自行勘察项目现场，如供应商因未及时勘察现场而导致的报价缺项漏</w:t>
      </w:r>
      <w:proofErr w:type="gramStart"/>
      <w:r w:rsidRPr="00F477CE">
        <w:rPr>
          <w:rFonts w:ascii="宋体" w:eastAsia="宋体" w:hAnsi="宋体" w:cs="Times New Roman" w:hint="eastAsia"/>
          <w:sz w:val="24"/>
          <w:szCs w:val="28"/>
        </w:rPr>
        <w:t>项废标</w:t>
      </w:r>
      <w:proofErr w:type="gramEnd"/>
      <w:r w:rsidRPr="00F477CE">
        <w:rPr>
          <w:rFonts w:ascii="宋体" w:eastAsia="宋体" w:hAnsi="宋体" w:cs="Times New Roman" w:hint="eastAsia"/>
          <w:sz w:val="24"/>
          <w:szCs w:val="28"/>
        </w:rPr>
        <w:t>、或成交后无法完工，供应商自行承担一切后果；</w:t>
      </w:r>
    </w:p>
    <w:p w:rsidR="00F477CE" w:rsidRPr="00F477CE" w:rsidRDefault="00F477CE" w:rsidP="00F477CE">
      <w:pPr>
        <w:autoSpaceDE w:val="0"/>
        <w:autoSpaceDN w:val="0"/>
        <w:adjustRightInd w:val="0"/>
        <w:spacing w:line="360" w:lineRule="auto"/>
        <w:jc w:val="left"/>
        <w:rPr>
          <w:rFonts w:ascii="宋体" w:eastAsia="宋体" w:hAnsi="宋体" w:cs="Times New Roman"/>
          <w:b/>
          <w:sz w:val="24"/>
          <w:szCs w:val="24"/>
        </w:rPr>
      </w:pPr>
      <w:r w:rsidRPr="00F477CE">
        <w:rPr>
          <w:rFonts w:ascii="宋体" w:eastAsia="宋体" w:hAnsi="宋体" w:cs="Times New Roman"/>
          <w:sz w:val="24"/>
          <w:szCs w:val="28"/>
        </w:rPr>
        <w:t>3、</w:t>
      </w:r>
      <w:r w:rsidRPr="00F477CE">
        <w:rPr>
          <w:rFonts w:ascii="宋体" w:eastAsia="宋体" w:hAnsi="宋体" w:cs="Times New Roman" w:hint="eastAsia"/>
          <w:sz w:val="24"/>
          <w:szCs w:val="28"/>
        </w:rPr>
        <w:t>如对本</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文件有任何疑问或澄清要求，请按本</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文件“供应商须知前附表”中约定方式联系采购人，或在接受答疑截止时间</w:t>
      </w:r>
      <w:proofErr w:type="gramStart"/>
      <w:r w:rsidRPr="00F477CE">
        <w:rPr>
          <w:rFonts w:ascii="宋体" w:eastAsia="宋体" w:hAnsi="宋体" w:cs="Times New Roman" w:hint="eastAsia"/>
          <w:sz w:val="24"/>
          <w:szCs w:val="28"/>
        </w:rPr>
        <w:t>前联系</w:t>
      </w:r>
      <w:proofErr w:type="gramEnd"/>
      <w:r w:rsidRPr="00F477CE">
        <w:rPr>
          <w:rFonts w:ascii="宋体" w:eastAsia="宋体" w:hAnsi="宋体" w:cs="Times New Roman" w:hint="eastAsia"/>
          <w:sz w:val="24"/>
          <w:szCs w:val="28"/>
        </w:rPr>
        <w:t>项目负责人，否则视同理解和接受，</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后采购人不再受理对</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文件条款提出的质疑。</w:t>
      </w:r>
      <w:r w:rsidRPr="00F477CE">
        <w:rPr>
          <w:rFonts w:ascii="宋体" w:eastAsia="宋体" w:hAnsi="宋体" w:cs="Times New Roman" w:hint="eastAsia"/>
          <w:b/>
          <w:sz w:val="24"/>
          <w:szCs w:val="24"/>
        </w:rPr>
        <w:cr/>
      </w:r>
      <w:r w:rsidR="00B8352A">
        <w:rPr>
          <w:rFonts w:ascii="宋体" w:eastAsia="宋体" w:hAnsi="宋体" w:cs="Times New Roman" w:hint="eastAsia"/>
          <w:b/>
          <w:sz w:val="24"/>
          <w:szCs w:val="24"/>
        </w:rPr>
        <w:t>（</w:t>
      </w:r>
      <w:r w:rsidRPr="00F477CE">
        <w:rPr>
          <w:rFonts w:ascii="宋体" w:eastAsia="宋体" w:hAnsi="宋体" w:cs="Times New Roman" w:hint="eastAsia"/>
          <w:b/>
          <w:sz w:val="24"/>
          <w:szCs w:val="24"/>
        </w:rPr>
        <w:t>二</w:t>
      </w:r>
      <w:r w:rsidR="00B8352A">
        <w:rPr>
          <w:rFonts w:ascii="宋体" w:eastAsia="宋体" w:hAnsi="宋体" w:cs="Times New Roman" w:hint="eastAsia"/>
          <w:b/>
          <w:sz w:val="24"/>
          <w:szCs w:val="24"/>
        </w:rPr>
        <w:t>）</w:t>
      </w:r>
      <w:r w:rsidRPr="00F477CE">
        <w:rPr>
          <w:rFonts w:ascii="宋体" w:eastAsia="宋体" w:hAnsi="宋体" w:cs="Times New Roman" w:hint="eastAsia"/>
          <w:b/>
          <w:sz w:val="24"/>
          <w:szCs w:val="24"/>
        </w:rPr>
        <w:t>、技术参数需求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444"/>
        <w:gridCol w:w="4433"/>
        <w:gridCol w:w="1631"/>
      </w:tblGrid>
      <w:tr w:rsidR="00E221E0" w:rsidRPr="00E221E0" w:rsidTr="00AB53F6">
        <w:trPr>
          <w:trHeight w:val="605"/>
        </w:trPr>
        <w:tc>
          <w:tcPr>
            <w:tcW w:w="595" w:type="pct"/>
            <w:vAlign w:val="center"/>
          </w:tcPr>
          <w:p w:rsidR="00E221E0" w:rsidRPr="00E221E0" w:rsidRDefault="00E221E0" w:rsidP="00E221E0">
            <w:pPr>
              <w:spacing w:line="360" w:lineRule="auto"/>
              <w:ind w:firstLineChars="225" w:firstLine="542"/>
              <w:rPr>
                <w:rFonts w:ascii="宋体" w:eastAsia="宋体" w:hAnsi="宋体" w:cs="Times New Roman"/>
                <w:b/>
                <w:bCs/>
                <w:sz w:val="24"/>
                <w:szCs w:val="24"/>
              </w:rPr>
            </w:pPr>
            <w:r w:rsidRPr="00E221E0">
              <w:rPr>
                <w:rFonts w:ascii="宋体" w:eastAsia="宋体" w:hAnsi="宋体" w:cs="Times New Roman" w:hint="eastAsia"/>
                <w:b/>
                <w:bCs/>
                <w:sz w:val="24"/>
                <w:szCs w:val="24"/>
              </w:rPr>
              <w:t>序号</w:t>
            </w:r>
          </w:p>
        </w:tc>
        <w:tc>
          <w:tcPr>
            <w:tcW w:w="847" w:type="pct"/>
            <w:vAlign w:val="center"/>
          </w:tcPr>
          <w:p w:rsidR="00E221E0" w:rsidRPr="00E221E0" w:rsidRDefault="00E221E0" w:rsidP="00E221E0">
            <w:pPr>
              <w:spacing w:line="360" w:lineRule="auto"/>
              <w:ind w:firstLineChars="225" w:firstLine="542"/>
              <w:rPr>
                <w:rFonts w:ascii="宋体" w:eastAsia="宋体" w:hAnsi="宋体" w:cs="Times New Roman"/>
                <w:b/>
                <w:bCs/>
                <w:sz w:val="24"/>
                <w:szCs w:val="24"/>
              </w:rPr>
            </w:pPr>
            <w:r w:rsidRPr="00E221E0">
              <w:rPr>
                <w:rFonts w:ascii="宋体" w:eastAsia="宋体" w:hAnsi="宋体" w:cs="Times New Roman" w:hint="eastAsia"/>
                <w:b/>
                <w:bCs/>
                <w:sz w:val="24"/>
                <w:szCs w:val="24"/>
              </w:rPr>
              <w:t>货物名称</w:t>
            </w:r>
          </w:p>
        </w:tc>
        <w:tc>
          <w:tcPr>
            <w:tcW w:w="2601" w:type="pct"/>
            <w:vAlign w:val="center"/>
          </w:tcPr>
          <w:p w:rsidR="00E221E0" w:rsidRPr="00E221E0" w:rsidRDefault="00E221E0" w:rsidP="00E221E0">
            <w:pPr>
              <w:spacing w:line="360" w:lineRule="auto"/>
              <w:ind w:firstLineChars="225" w:firstLine="542"/>
              <w:rPr>
                <w:rFonts w:ascii="宋体" w:eastAsia="宋体" w:hAnsi="宋体" w:cs="Times New Roman"/>
                <w:b/>
                <w:bCs/>
                <w:sz w:val="24"/>
                <w:szCs w:val="24"/>
              </w:rPr>
            </w:pPr>
            <w:r w:rsidRPr="00E221E0">
              <w:rPr>
                <w:rFonts w:ascii="宋体" w:eastAsia="宋体" w:hAnsi="宋体" w:cs="Times New Roman" w:hint="eastAsia"/>
                <w:b/>
                <w:bCs/>
                <w:sz w:val="24"/>
                <w:szCs w:val="24"/>
              </w:rPr>
              <w:t>技术参数</w:t>
            </w:r>
          </w:p>
        </w:tc>
        <w:tc>
          <w:tcPr>
            <w:tcW w:w="957" w:type="pct"/>
            <w:vAlign w:val="center"/>
          </w:tcPr>
          <w:p w:rsidR="00E221E0" w:rsidRPr="00E221E0" w:rsidRDefault="00E221E0" w:rsidP="00E221E0">
            <w:pPr>
              <w:spacing w:line="360" w:lineRule="auto"/>
              <w:ind w:firstLineChars="225" w:firstLine="542"/>
              <w:rPr>
                <w:rFonts w:ascii="宋体" w:eastAsia="宋体" w:hAnsi="宋体" w:cs="Times New Roman"/>
                <w:b/>
                <w:bCs/>
                <w:sz w:val="24"/>
                <w:szCs w:val="24"/>
              </w:rPr>
            </w:pPr>
            <w:r w:rsidRPr="00E221E0">
              <w:rPr>
                <w:rFonts w:ascii="宋体" w:eastAsia="宋体" w:hAnsi="宋体" w:cs="Times New Roman" w:hint="eastAsia"/>
                <w:b/>
                <w:bCs/>
                <w:sz w:val="24"/>
                <w:szCs w:val="24"/>
              </w:rPr>
              <w:t>数量</w:t>
            </w:r>
          </w:p>
        </w:tc>
      </w:tr>
      <w:tr w:rsidR="00E221E0" w:rsidRPr="00E221E0" w:rsidTr="00AB53F6">
        <w:trPr>
          <w:trHeight w:val="249"/>
        </w:trPr>
        <w:tc>
          <w:tcPr>
            <w:tcW w:w="595"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w:t>
            </w:r>
          </w:p>
        </w:tc>
        <w:tc>
          <w:tcPr>
            <w:tcW w:w="847" w:type="pct"/>
          </w:tcPr>
          <w:p w:rsidR="00E221E0" w:rsidRPr="00E221E0" w:rsidRDefault="00E221E0" w:rsidP="00E221E0">
            <w:pPr>
              <w:spacing w:line="360" w:lineRule="auto"/>
              <w:ind w:firstLineChars="225" w:firstLine="540"/>
              <w:rPr>
                <w:rFonts w:ascii="宋体" w:eastAsia="宋体" w:hAnsi="宋体" w:cs="Times New Roman"/>
                <w:b/>
                <w:bCs/>
                <w:sz w:val="24"/>
                <w:szCs w:val="24"/>
              </w:rPr>
            </w:pPr>
            <w:r w:rsidRPr="00E221E0">
              <w:rPr>
                <w:rFonts w:ascii="宋体" w:eastAsia="宋体" w:hAnsi="宋体" w:cs="Times New Roman" w:hint="eastAsia"/>
                <w:sz w:val="24"/>
                <w:szCs w:val="24"/>
              </w:rPr>
              <w:t>▲</w:t>
            </w:r>
            <w:r w:rsidRPr="00E221E0">
              <w:rPr>
                <w:rFonts w:ascii="宋体" w:eastAsia="宋体" w:hAnsi="宋体" w:cs="Times New Roman" w:hint="eastAsia"/>
                <w:b/>
                <w:bCs/>
                <w:sz w:val="24"/>
                <w:szCs w:val="24"/>
              </w:rPr>
              <w:t>视频拍摄制作</w:t>
            </w:r>
          </w:p>
        </w:tc>
        <w:tc>
          <w:tcPr>
            <w:tcW w:w="2601" w:type="pct"/>
            <w:vAlign w:val="center"/>
          </w:tcPr>
          <w:p w:rsidR="00E221E0" w:rsidRPr="00E221E0" w:rsidRDefault="00E221E0" w:rsidP="00E221E0">
            <w:pPr>
              <w:spacing w:line="360" w:lineRule="auto"/>
              <w:ind w:firstLineChars="225" w:firstLine="540"/>
              <w:rPr>
                <w:rFonts w:ascii="宋体" w:eastAsia="宋体" w:hAnsi="宋体" w:cs="Times New Roman"/>
                <w:b/>
                <w:sz w:val="24"/>
                <w:szCs w:val="24"/>
              </w:rPr>
            </w:pPr>
            <w:r w:rsidRPr="00E221E0">
              <w:rPr>
                <w:rFonts w:ascii="宋体" w:eastAsia="宋体" w:hAnsi="宋体" w:cs="Times New Roman" w:hint="eastAsia"/>
                <w:sz w:val="24"/>
                <w:szCs w:val="24"/>
              </w:rPr>
              <w:t>每个作品需拍摄3-4个课堂实录片段视频，每段视频能清晰完整地呈现参赛作品中内容相对完整、课程属性特质鲜明、反映团队成员教学风格的教学活动实况。各片段拍摄时长在8-15分钟以内，最多不超过20分钟，总时</w:t>
            </w:r>
            <w:proofErr w:type="gramStart"/>
            <w:r w:rsidRPr="00E221E0">
              <w:rPr>
                <w:rFonts w:ascii="宋体" w:eastAsia="宋体" w:hAnsi="宋体" w:cs="Times New Roman" w:hint="eastAsia"/>
                <w:sz w:val="24"/>
                <w:szCs w:val="24"/>
              </w:rPr>
              <w:t>长控制</w:t>
            </w:r>
            <w:proofErr w:type="gramEnd"/>
            <w:r w:rsidRPr="00E221E0">
              <w:rPr>
                <w:rFonts w:ascii="宋体" w:eastAsia="宋体" w:hAnsi="宋体" w:cs="Times New Roman" w:hint="eastAsia"/>
                <w:sz w:val="24"/>
                <w:szCs w:val="24"/>
              </w:rPr>
              <w:t>在35—40分钟；单个课程视频合计大小不超过500M，单个视频不超过200M。</w:t>
            </w:r>
          </w:p>
          <w:p w:rsidR="00E221E0" w:rsidRPr="00E221E0" w:rsidRDefault="00E221E0" w:rsidP="00E221E0">
            <w:pPr>
              <w:spacing w:line="360" w:lineRule="auto"/>
              <w:ind w:firstLineChars="225" w:firstLine="540"/>
              <w:rPr>
                <w:rFonts w:ascii="宋体" w:eastAsia="宋体" w:hAnsi="宋体" w:cs="Times New Roman"/>
                <w:b/>
                <w:sz w:val="24"/>
                <w:szCs w:val="24"/>
              </w:rPr>
            </w:pPr>
            <w:r w:rsidRPr="00E221E0">
              <w:rPr>
                <w:rFonts w:ascii="宋体" w:eastAsia="宋体" w:hAnsi="宋体" w:cs="Times New Roman" w:hint="eastAsia"/>
                <w:sz w:val="24"/>
                <w:szCs w:val="24"/>
              </w:rPr>
              <w:t>★</w:t>
            </w:r>
            <w:r w:rsidRPr="00E221E0">
              <w:rPr>
                <w:rFonts w:ascii="宋体" w:eastAsia="宋体" w:hAnsi="宋体" w:cs="Times New Roman" w:hint="eastAsia"/>
                <w:b/>
                <w:sz w:val="24"/>
                <w:szCs w:val="24"/>
              </w:rPr>
              <w:t>技术团队配备：</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1.团队成员：专业的课程与教学设计人员（1人）、专业的教学视频拍摄人员（1人，可根据拍摄情况扩增至3人）、专业的视频剪辑与特效人员（2人）、业务人员1人（负责校方与公司各部门协</w:t>
            </w:r>
            <w:r w:rsidRPr="00E221E0">
              <w:rPr>
                <w:rFonts w:ascii="宋体" w:eastAsia="宋体" w:hAnsi="宋体" w:cs="Times New Roman" w:hint="eastAsia"/>
                <w:sz w:val="24"/>
                <w:szCs w:val="24"/>
              </w:rPr>
              <w:lastRenderedPageBreak/>
              <w:t>调，比赛期间全职全程参与）；</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2.录制方式及设备：</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（1）录制方式：</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课堂教学为一镜到底拍摄方式，用镜头展示主要教学环节的完整过程。镜头中需包含教学环境，老师教学重难点细节的展示，以及学生操作的细节；</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（2）拍摄场地为教学实景，现场光线充足、环境安静、整洁，根据教学内容采用对应的拍摄场景，避免在镜头中出现与作品无关的标识或参赛单位信息等内容；</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（3）录像设备，摄像机要求品牌及型号一致，满足不低于大赛标准的专业级数字设备，并保证设备能正常完成拍摄任务；</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（4）录音设备，使用若干个专业级收音设备，保证拍摄现场的录音质量；</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（5）后期制作，使用专业软件进行非线性编辑。</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3.服务方案要求：</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（1）作品的计划与设计：需提供教学设计内容上的建议、项目计划方案、拍摄方案；</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（2）教学方法的设计：需帮助教师设计，课堂面授、角色模拟、操作演示、讨论互动等教学环节；</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（3）教学仪态、语言的咨询服务：需为教师提供教师妆容、教学动作、教学</w:t>
            </w:r>
            <w:r w:rsidRPr="00E221E0">
              <w:rPr>
                <w:rFonts w:ascii="宋体" w:eastAsia="宋体" w:hAnsi="宋体" w:cs="Times New Roman" w:hint="eastAsia"/>
                <w:sz w:val="24"/>
                <w:szCs w:val="24"/>
              </w:rPr>
              <w:lastRenderedPageBreak/>
              <w:t>语言等咨询与建议。</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制作团队能够参与到作品规划和设计中，必须在拍摄之前与教学团队就作品脚本进行充分沟通，能够为主讲教师教学环节落实实施方案，协助教师梳理知识内容、收集整理相关资料；制作团队负责作品拍摄以及后期制作（修改、特效、包装、动画制作、录音合成、字幕等），直至团队审核通过。并确保所制作的作品在专业技术层面符合比赛要求，制作团队必须做好该项目相关的管理和服务工作。</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2.需要拍摄制作的视频包括以下几类：“一镜到底”录制主要教学环节、素材拍摄。</w:t>
            </w:r>
          </w:p>
          <w:p w:rsidR="00E221E0" w:rsidRPr="00E221E0" w:rsidRDefault="00E221E0" w:rsidP="00E221E0">
            <w:pPr>
              <w:spacing w:line="360" w:lineRule="auto"/>
              <w:ind w:firstLineChars="225" w:firstLine="542"/>
              <w:rPr>
                <w:rFonts w:ascii="宋体" w:eastAsia="宋体" w:hAnsi="宋体" w:cs="Times New Roman"/>
                <w:b/>
                <w:sz w:val="24"/>
                <w:szCs w:val="24"/>
              </w:rPr>
            </w:pPr>
            <w:r w:rsidRPr="00E221E0">
              <w:rPr>
                <w:rFonts w:ascii="宋体" w:eastAsia="宋体" w:hAnsi="宋体" w:cs="Times New Roman" w:hint="eastAsia"/>
                <w:b/>
                <w:sz w:val="24"/>
                <w:szCs w:val="24"/>
              </w:rPr>
              <w:t>视频压缩</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1.压缩格式：采用H.264/AVC(MPEG-4 Part10)编码格式。</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2.码流：动态码流的码率为不低于1024Kbps，不超过1280Kbps。</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3.分辨率</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(1)采用标清4:3拍摄时，建议设定为720*576；</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(2)采用高清16:9拍摄时，建议设定为1280*720；</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(3)在同一参赛作品中，各机位(课堂教学视频仅用一个机位)的视频分辨率应统一，</w:t>
            </w:r>
            <w:proofErr w:type="gramStart"/>
            <w:r w:rsidRPr="00E221E0">
              <w:rPr>
                <w:rFonts w:ascii="宋体" w:eastAsia="宋体" w:hAnsi="宋体" w:cs="Times New Roman" w:hint="eastAsia"/>
                <w:sz w:val="24"/>
                <w:szCs w:val="24"/>
              </w:rPr>
              <w:t>不</w:t>
            </w:r>
            <w:proofErr w:type="gramEnd"/>
            <w:r w:rsidRPr="00E221E0">
              <w:rPr>
                <w:rFonts w:ascii="宋体" w:eastAsia="宋体" w:hAnsi="宋体" w:cs="Times New Roman" w:hint="eastAsia"/>
                <w:sz w:val="24"/>
                <w:szCs w:val="24"/>
              </w:rPr>
              <w:t>得标清和高清混用。</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4.画幅宽高比</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(1)分辨率设定为720*576的，选定</w:t>
            </w:r>
            <w:r w:rsidRPr="00E221E0">
              <w:rPr>
                <w:rFonts w:ascii="宋体" w:eastAsia="宋体" w:hAnsi="宋体" w:cs="Times New Roman" w:hint="eastAsia"/>
                <w:sz w:val="24"/>
                <w:szCs w:val="24"/>
              </w:rPr>
              <w:lastRenderedPageBreak/>
              <w:t>4:3；</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(2)分辨率设定为1280*720的，选定16:9；</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(3)在同一参赛作品中，各机位(教学片断视频仅用一个机位)的视频应统一画幅宽高比，不得混用。</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5.</w:t>
            </w:r>
            <w:proofErr w:type="gramStart"/>
            <w:r w:rsidRPr="00E221E0">
              <w:rPr>
                <w:rFonts w:ascii="宋体" w:eastAsia="宋体" w:hAnsi="宋体" w:cs="Times New Roman" w:hint="eastAsia"/>
                <w:sz w:val="24"/>
                <w:szCs w:val="24"/>
              </w:rPr>
              <w:t>帧率为</w:t>
            </w:r>
            <w:proofErr w:type="gramEnd"/>
            <w:r w:rsidRPr="00E221E0">
              <w:rPr>
                <w:rFonts w:ascii="宋体" w:eastAsia="宋体" w:hAnsi="宋体" w:cs="Times New Roman" w:hint="eastAsia"/>
                <w:sz w:val="24"/>
                <w:szCs w:val="24"/>
              </w:rPr>
              <w:t>25帧/秒；</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6.扫描方式为逐行扫描；</w:t>
            </w:r>
          </w:p>
          <w:p w:rsidR="00E221E0" w:rsidRPr="00E221E0" w:rsidRDefault="00E221E0" w:rsidP="00E221E0">
            <w:pPr>
              <w:spacing w:line="360" w:lineRule="auto"/>
              <w:ind w:firstLineChars="225" w:firstLine="542"/>
              <w:rPr>
                <w:rFonts w:ascii="宋体" w:eastAsia="宋体" w:hAnsi="宋体" w:cs="Times New Roman"/>
                <w:b/>
                <w:sz w:val="24"/>
                <w:szCs w:val="24"/>
              </w:rPr>
            </w:pPr>
            <w:r w:rsidRPr="00E221E0">
              <w:rPr>
                <w:rFonts w:ascii="宋体" w:eastAsia="宋体" w:hAnsi="宋体" w:cs="Times New Roman" w:hint="eastAsia"/>
                <w:b/>
                <w:sz w:val="24"/>
                <w:szCs w:val="24"/>
              </w:rPr>
              <w:t>音频压缩格式及技术参数</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1.压缩格式采用AAC(MPEG4 Part3)格式；</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2.采样率为48KHZ；</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3.码流为128KbpS(</w:t>
            </w:r>
            <w:proofErr w:type="spellStart"/>
            <w:r w:rsidRPr="00E221E0">
              <w:rPr>
                <w:rFonts w:ascii="宋体" w:eastAsia="宋体" w:hAnsi="宋体" w:cs="Times New Roman" w:hint="eastAsia"/>
                <w:sz w:val="24"/>
                <w:szCs w:val="24"/>
              </w:rPr>
              <w:t>cbr</w:t>
            </w:r>
            <w:proofErr w:type="spellEnd"/>
            <w:r w:rsidRPr="00E221E0">
              <w:rPr>
                <w:rFonts w:ascii="宋体" w:eastAsia="宋体" w:hAnsi="宋体" w:cs="Times New Roman" w:hint="eastAsia"/>
                <w:sz w:val="24"/>
                <w:szCs w:val="24"/>
              </w:rPr>
              <w:t>)；</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4.封装格式釆用MP4格式封装(视频编码格式：H.264/AVC(MPEG-4 Part10)；音频编码格式：AAC(MPEG4 Part3)</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5.其他</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视频和音频的编码格式务必遵照相关要求，否则将导致视频无法正常播出，延误网络评审，影响比赛成绩。视频的编码格式信息，可在视频播放器的视频文件详细信息中查看。视频编码格式不符合比赛要求的，可用各种转换软件进行转换。</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（2）课堂教学主要教学环节视频总时长不超过45分钟，文件总大小不超过500M；</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（3）比赛采取匿名方式进行，禁止参赛教师进行省市、学校和个人情况介</w:t>
            </w:r>
            <w:r w:rsidRPr="00E221E0">
              <w:rPr>
                <w:rFonts w:ascii="宋体" w:eastAsia="宋体" w:hAnsi="宋体" w:cs="Times New Roman" w:hint="eastAsia"/>
                <w:sz w:val="24"/>
                <w:szCs w:val="24"/>
              </w:rPr>
              <w:lastRenderedPageBreak/>
              <w:t>绍，参赛视频切勿泄露相关信息。</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（4）课堂教学片断视频不允许另行剪辑，不加片头片尾、字幕注解等；</w:t>
            </w:r>
          </w:p>
        </w:tc>
        <w:tc>
          <w:tcPr>
            <w:tcW w:w="95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lastRenderedPageBreak/>
              <w:t>1套</w:t>
            </w:r>
          </w:p>
        </w:tc>
      </w:tr>
      <w:tr w:rsidR="00E221E0" w:rsidRPr="00E221E0" w:rsidTr="00AB53F6">
        <w:tc>
          <w:tcPr>
            <w:tcW w:w="595"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lastRenderedPageBreak/>
              <w:t>2</w:t>
            </w:r>
          </w:p>
        </w:tc>
        <w:tc>
          <w:tcPr>
            <w:tcW w:w="847" w:type="pct"/>
            <w:vAlign w:val="center"/>
          </w:tcPr>
          <w:p w:rsidR="00E221E0" w:rsidRPr="00E221E0" w:rsidRDefault="00E221E0" w:rsidP="00E221E0">
            <w:pPr>
              <w:spacing w:line="360" w:lineRule="auto"/>
              <w:ind w:firstLineChars="225" w:firstLine="542"/>
              <w:rPr>
                <w:rFonts w:ascii="宋体" w:eastAsia="宋体" w:hAnsi="宋体" w:cs="Times New Roman"/>
                <w:sz w:val="24"/>
                <w:szCs w:val="24"/>
              </w:rPr>
            </w:pPr>
            <w:r w:rsidRPr="00E221E0">
              <w:rPr>
                <w:rFonts w:ascii="宋体" w:eastAsia="宋体" w:hAnsi="宋体" w:cs="Times New Roman" w:hint="eastAsia"/>
                <w:b/>
                <w:bCs/>
                <w:sz w:val="24"/>
                <w:szCs w:val="24"/>
              </w:rPr>
              <w:t>课件制作指导</w:t>
            </w:r>
          </w:p>
        </w:tc>
        <w:tc>
          <w:tcPr>
            <w:tcW w:w="2601" w:type="pct"/>
            <w:vAlign w:val="center"/>
          </w:tcPr>
          <w:p w:rsidR="00E221E0" w:rsidRPr="00E221E0" w:rsidRDefault="00E221E0" w:rsidP="00E221E0">
            <w:pPr>
              <w:spacing w:line="360" w:lineRule="auto"/>
              <w:ind w:firstLineChars="225" w:firstLine="542"/>
              <w:rPr>
                <w:rFonts w:ascii="宋体" w:eastAsia="宋体" w:hAnsi="宋体" w:cs="Times New Roman"/>
                <w:b/>
                <w:sz w:val="24"/>
                <w:szCs w:val="24"/>
              </w:rPr>
            </w:pPr>
            <w:r w:rsidRPr="00E221E0">
              <w:rPr>
                <w:rFonts w:ascii="宋体" w:eastAsia="宋体" w:hAnsi="宋体" w:cs="Times New Roman" w:hint="eastAsia"/>
                <w:b/>
                <w:sz w:val="24"/>
                <w:szCs w:val="24"/>
              </w:rPr>
              <w:t>上课PPT</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1.使用2010版本以上软件制作课件，文档格式为.</w:t>
            </w:r>
            <w:proofErr w:type="spellStart"/>
            <w:r w:rsidRPr="00E221E0">
              <w:rPr>
                <w:rFonts w:ascii="宋体" w:eastAsia="宋体" w:hAnsi="宋体" w:cs="Times New Roman" w:hint="eastAsia"/>
                <w:sz w:val="24"/>
                <w:szCs w:val="24"/>
              </w:rPr>
              <w:t>pptx</w:t>
            </w:r>
            <w:proofErr w:type="spellEnd"/>
            <w:r w:rsidRPr="00E221E0">
              <w:rPr>
                <w:rFonts w:ascii="宋体" w:eastAsia="宋体" w:hAnsi="宋体" w:cs="Times New Roman" w:hint="eastAsia"/>
                <w:sz w:val="24"/>
                <w:szCs w:val="24"/>
              </w:rPr>
              <w:t>。</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2.课件制作后使用兼容性检查，保证页面中所有对象均为兼容状态。</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3.幻灯片尺寸为16：9</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4.课件中的视频为嵌入式而非插入式，属性遵循标准演示，文稿的图表数据点，确保不出现PostScript字体；</w:t>
            </w:r>
          </w:p>
          <w:p w:rsidR="00E221E0" w:rsidRPr="00E221E0" w:rsidRDefault="00E221E0" w:rsidP="00E221E0">
            <w:pPr>
              <w:spacing w:line="360" w:lineRule="auto"/>
              <w:ind w:firstLineChars="225" w:firstLine="542"/>
              <w:rPr>
                <w:rFonts w:ascii="宋体" w:eastAsia="宋体" w:hAnsi="宋体" w:cs="Times New Roman"/>
                <w:b/>
                <w:sz w:val="24"/>
                <w:szCs w:val="24"/>
              </w:rPr>
            </w:pPr>
            <w:r w:rsidRPr="00E221E0">
              <w:rPr>
                <w:rFonts w:ascii="宋体" w:eastAsia="宋体" w:hAnsi="宋体" w:cs="Times New Roman" w:hint="eastAsia"/>
                <w:b/>
                <w:sz w:val="24"/>
                <w:szCs w:val="24"/>
              </w:rPr>
              <w:t>说课PPT</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1.使用2010版本以上软件制作课件，文档格式为.</w:t>
            </w:r>
            <w:proofErr w:type="spellStart"/>
            <w:r w:rsidRPr="00E221E0">
              <w:rPr>
                <w:rFonts w:ascii="宋体" w:eastAsia="宋体" w:hAnsi="宋体" w:cs="Times New Roman" w:hint="eastAsia"/>
                <w:sz w:val="24"/>
                <w:szCs w:val="24"/>
              </w:rPr>
              <w:t>pptx</w:t>
            </w:r>
            <w:proofErr w:type="spellEnd"/>
            <w:r w:rsidRPr="00E221E0">
              <w:rPr>
                <w:rFonts w:ascii="宋体" w:eastAsia="宋体" w:hAnsi="宋体" w:cs="Times New Roman" w:hint="eastAsia"/>
                <w:sz w:val="24"/>
                <w:szCs w:val="24"/>
              </w:rPr>
              <w:t>。</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2.课件制作后使用兼容性检查，保证页面中所有对象均为兼容状态。</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3.幻灯片尺寸为16：9</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4.课件中的视频为嵌入式而非插入式，属性遵循标准演示文稿的图表数据点，确保不出现PostScript字体。</w:t>
            </w:r>
          </w:p>
        </w:tc>
        <w:tc>
          <w:tcPr>
            <w:tcW w:w="95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p>
        </w:tc>
      </w:tr>
      <w:tr w:rsidR="00E221E0" w:rsidRPr="00E221E0" w:rsidTr="00AB53F6">
        <w:trPr>
          <w:trHeight w:val="113"/>
        </w:trPr>
        <w:tc>
          <w:tcPr>
            <w:tcW w:w="595"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w:t>
            </w:r>
          </w:p>
        </w:tc>
        <w:tc>
          <w:tcPr>
            <w:tcW w:w="84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w:t>
            </w:r>
            <w:r w:rsidRPr="00E221E0">
              <w:rPr>
                <w:rFonts w:ascii="宋体" w:eastAsia="宋体" w:hAnsi="宋体" w:cs="Times New Roman" w:hint="eastAsia"/>
                <w:b/>
                <w:bCs/>
                <w:sz w:val="24"/>
                <w:szCs w:val="24"/>
              </w:rPr>
              <w:t>信息化教学工具</w:t>
            </w:r>
          </w:p>
        </w:tc>
        <w:tc>
          <w:tcPr>
            <w:tcW w:w="2601" w:type="pct"/>
            <w:vAlign w:val="center"/>
          </w:tcPr>
          <w:p w:rsidR="00E221E0" w:rsidRPr="00E221E0" w:rsidRDefault="00E221E0" w:rsidP="00E221E0">
            <w:pPr>
              <w:spacing w:line="360" w:lineRule="auto"/>
              <w:ind w:firstLineChars="225" w:firstLine="540"/>
              <w:rPr>
                <w:rFonts w:ascii="宋体" w:eastAsia="宋体" w:hAnsi="宋体" w:cs="Times New Roman"/>
                <w:b/>
                <w:bCs/>
                <w:sz w:val="24"/>
                <w:szCs w:val="24"/>
              </w:rPr>
            </w:pPr>
            <w:r w:rsidRPr="00E221E0">
              <w:rPr>
                <w:rFonts w:ascii="宋体" w:eastAsia="宋体" w:hAnsi="宋体" w:cs="Times New Roman" w:hint="eastAsia"/>
                <w:sz w:val="24"/>
                <w:szCs w:val="24"/>
              </w:rPr>
              <w:t>提供1套满足教学课前、课中及课后使用的信息化教学工具，能够满足教师、学生在参赛过程中的信息化教学需求。</w:t>
            </w:r>
          </w:p>
          <w:p w:rsidR="00E221E0" w:rsidRPr="00E221E0" w:rsidRDefault="00E221E0" w:rsidP="00E221E0">
            <w:pPr>
              <w:spacing w:line="360" w:lineRule="auto"/>
              <w:ind w:firstLineChars="225" w:firstLine="542"/>
              <w:rPr>
                <w:rFonts w:ascii="宋体" w:eastAsia="宋体" w:hAnsi="宋体" w:cs="Times New Roman"/>
                <w:b/>
                <w:bCs/>
                <w:sz w:val="24"/>
                <w:szCs w:val="24"/>
              </w:rPr>
            </w:pPr>
            <w:r w:rsidRPr="00E221E0">
              <w:rPr>
                <w:rFonts w:ascii="宋体" w:eastAsia="宋体" w:hAnsi="宋体" w:cs="Times New Roman" w:hint="eastAsia"/>
                <w:b/>
                <w:bCs/>
                <w:sz w:val="24"/>
                <w:szCs w:val="24"/>
              </w:rPr>
              <w:t>教师端要求</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1.支持手机端无线投</w:t>
            </w:r>
            <w:proofErr w:type="gramStart"/>
            <w:r w:rsidRPr="00E221E0">
              <w:rPr>
                <w:rFonts w:ascii="宋体" w:eastAsia="宋体" w:hAnsi="宋体" w:cs="Times New Roman" w:hint="eastAsia"/>
                <w:sz w:val="24"/>
                <w:szCs w:val="24"/>
              </w:rPr>
              <w:t>屏功能</w:t>
            </w:r>
            <w:proofErr w:type="gramEnd"/>
            <w:r w:rsidRPr="00E221E0">
              <w:rPr>
                <w:rFonts w:ascii="宋体" w:eastAsia="宋体" w:hAnsi="宋体" w:cs="Times New Roman" w:hint="eastAsia"/>
                <w:sz w:val="24"/>
                <w:szCs w:val="24"/>
              </w:rPr>
              <w:t>且不局限于同一WIFI网络也能实现，不需要使用数据线或其他投屏设备，无需再次下载</w:t>
            </w:r>
            <w:r w:rsidRPr="00E221E0">
              <w:rPr>
                <w:rFonts w:ascii="宋体" w:eastAsia="宋体" w:hAnsi="宋体" w:cs="Times New Roman" w:hint="eastAsia"/>
                <w:sz w:val="24"/>
                <w:szCs w:val="24"/>
              </w:rPr>
              <w:lastRenderedPageBreak/>
              <w:t>任何软件或插件，直接实现智慧课堂教学。</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2.可以通过账号登录，可以选择通过输入自己的绑定的手机号和密码，或者手机验证码来实现登录，亦可使用便捷</w:t>
            </w:r>
            <w:proofErr w:type="gramStart"/>
            <w:r w:rsidRPr="00E221E0">
              <w:rPr>
                <w:rFonts w:ascii="宋体" w:eastAsia="宋体" w:hAnsi="宋体" w:cs="Times New Roman" w:hint="eastAsia"/>
                <w:sz w:val="24"/>
                <w:szCs w:val="24"/>
              </w:rPr>
              <w:t>的扫码登录</w:t>
            </w:r>
            <w:proofErr w:type="gramEnd"/>
            <w:r w:rsidRPr="00E221E0">
              <w:rPr>
                <w:rFonts w:ascii="宋体" w:eastAsia="宋体" w:hAnsi="宋体" w:cs="Times New Roman" w:hint="eastAsia"/>
                <w:sz w:val="24"/>
                <w:szCs w:val="24"/>
              </w:rPr>
              <w:t>实现。</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3.教师轻松通过投</w:t>
            </w:r>
            <w:proofErr w:type="gramStart"/>
            <w:r w:rsidRPr="00E221E0">
              <w:rPr>
                <w:rFonts w:ascii="宋体" w:eastAsia="宋体" w:hAnsi="宋体" w:cs="Times New Roman" w:hint="eastAsia"/>
                <w:sz w:val="24"/>
                <w:szCs w:val="24"/>
              </w:rPr>
              <w:t>屏进行</w:t>
            </w:r>
            <w:proofErr w:type="gramEnd"/>
            <w:r w:rsidRPr="00E221E0">
              <w:rPr>
                <w:rFonts w:ascii="宋体" w:eastAsia="宋体" w:hAnsi="宋体" w:cs="Times New Roman" w:hint="eastAsia"/>
                <w:sz w:val="24"/>
                <w:szCs w:val="24"/>
              </w:rPr>
              <w:t>签到、选人、抢答等教学环节，并能直接在电脑网页投屏上展示结果数据。</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4.支持强大PPT演示功能，PPT在电脑网页投屏演示保留动画效果，播放流畅。PPT文件来源多种渠道，可以通过电脑端把文件直接发送至移动端，提高资源展示的便捷性。</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5.投</w:t>
            </w:r>
            <w:proofErr w:type="gramStart"/>
            <w:r w:rsidRPr="00E221E0">
              <w:rPr>
                <w:rFonts w:ascii="宋体" w:eastAsia="宋体" w:hAnsi="宋体" w:cs="Times New Roman" w:hint="eastAsia"/>
                <w:sz w:val="24"/>
                <w:szCs w:val="24"/>
              </w:rPr>
              <w:t>屏过程</w:t>
            </w:r>
            <w:proofErr w:type="gramEnd"/>
            <w:r w:rsidRPr="00E221E0">
              <w:rPr>
                <w:rFonts w:ascii="宋体" w:eastAsia="宋体" w:hAnsi="宋体" w:cs="Times New Roman" w:hint="eastAsia"/>
                <w:sz w:val="24"/>
                <w:szCs w:val="24"/>
              </w:rPr>
              <w:t>中，教师使用主题讨论，系统根据所有学生的回答自动分析生产数个关键词语。</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6.教师备课：教师可以在移动端中的活动库中，设置移动教案。按照教学计划，教师可提前在上组织教学内容，有序安排资料推送、签到、问答、抢答、投票等教学活动，方便课堂发放并易于复用。</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7.页面会有“扫描进班”，尚未加入班级的同学，可以通过扫面班级二</w:t>
            </w:r>
            <w:proofErr w:type="gramStart"/>
            <w:r w:rsidRPr="00E221E0">
              <w:rPr>
                <w:rFonts w:ascii="宋体" w:eastAsia="宋体" w:hAnsi="宋体" w:cs="Times New Roman" w:hint="eastAsia"/>
                <w:sz w:val="24"/>
                <w:szCs w:val="24"/>
              </w:rPr>
              <w:t>维码进入</w:t>
            </w:r>
            <w:proofErr w:type="gramEnd"/>
            <w:r w:rsidRPr="00E221E0">
              <w:rPr>
                <w:rFonts w:ascii="宋体" w:eastAsia="宋体" w:hAnsi="宋体" w:cs="Times New Roman" w:hint="eastAsia"/>
                <w:sz w:val="24"/>
                <w:szCs w:val="24"/>
              </w:rPr>
              <w:t>班级。</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8.支持通过手机</w:t>
            </w:r>
            <w:proofErr w:type="gramStart"/>
            <w:r w:rsidRPr="00E221E0">
              <w:rPr>
                <w:rFonts w:ascii="宋体" w:eastAsia="宋体" w:hAnsi="宋体" w:cs="Times New Roman" w:hint="eastAsia"/>
                <w:sz w:val="24"/>
                <w:szCs w:val="24"/>
              </w:rPr>
              <w:t>端投屏功能</w:t>
            </w:r>
            <w:proofErr w:type="gramEnd"/>
            <w:r w:rsidRPr="00E221E0">
              <w:rPr>
                <w:rFonts w:ascii="宋体" w:eastAsia="宋体" w:hAnsi="宋体" w:cs="Times New Roman" w:hint="eastAsia"/>
                <w:sz w:val="24"/>
                <w:szCs w:val="24"/>
              </w:rPr>
              <w:t>把课程相关图片、视频资源直接在投屏上展示。</w:t>
            </w:r>
          </w:p>
          <w:p w:rsidR="00E221E0" w:rsidRPr="00E221E0" w:rsidRDefault="00E221E0" w:rsidP="00E221E0">
            <w:pPr>
              <w:spacing w:line="360" w:lineRule="auto"/>
              <w:ind w:firstLineChars="225" w:firstLine="540"/>
              <w:rPr>
                <w:rFonts w:ascii="宋体" w:eastAsia="宋体" w:hAnsi="宋体" w:cs="Times New Roman"/>
                <w:b/>
                <w:bCs/>
                <w:sz w:val="24"/>
                <w:szCs w:val="24"/>
              </w:rPr>
            </w:pPr>
            <w:r w:rsidRPr="00E221E0">
              <w:rPr>
                <w:rFonts w:ascii="宋体" w:eastAsia="宋体" w:hAnsi="宋体" w:cs="Times New Roman" w:hint="eastAsia"/>
                <w:sz w:val="24"/>
                <w:szCs w:val="24"/>
              </w:rPr>
              <w:t>★</w:t>
            </w:r>
            <w:r w:rsidRPr="00E221E0">
              <w:rPr>
                <w:rFonts w:ascii="宋体" w:eastAsia="宋体" w:hAnsi="宋体" w:cs="Times New Roman" w:hint="eastAsia"/>
                <w:b/>
                <w:bCs/>
                <w:sz w:val="24"/>
                <w:szCs w:val="24"/>
              </w:rPr>
              <w:t>辅助教学移动端要求</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1.具有移动客户端，支持</w:t>
            </w:r>
            <w:proofErr w:type="spellStart"/>
            <w:r w:rsidRPr="00E221E0">
              <w:rPr>
                <w:rFonts w:ascii="宋体" w:eastAsia="宋体" w:hAnsi="宋体" w:cs="Times New Roman" w:hint="eastAsia"/>
                <w:sz w:val="24"/>
                <w:szCs w:val="24"/>
              </w:rPr>
              <w:t>iOS</w:t>
            </w:r>
            <w:proofErr w:type="spellEnd"/>
            <w:r w:rsidRPr="00E221E0">
              <w:rPr>
                <w:rFonts w:ascii="宋体" w:eastAsia="宋体" w:hAnsi="宋体" w:cs="Times New Roman" w:hint="eastAsia"/>
                <w:sz w:val="24"/>
                <w:szCs w:val="24"/>
              </w:rPr>
              <w:t>和</w:t>
            </w:r>
            <w:r w:rsidRPr="00E221E0">
              <w:rPr>
                <w:rFonts w:ascii="宋体" w:eastAsia="宋体" w:hAnsi="宋体" w:cs="Times New Roman" w:hint="eastAsia"/>
                <w:sz w:val="24"/>
                <w:szCs w:val="24"/>
              </w:rPr>
              <w:lastRenderedPageBreak/>
              <w:t>Android操作系统，用于手机、Pad等智能移动终端中，实现在线移动学习。</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 PC端与移动端的学习进度保持同步，学生在任何终端上，都可以实现学习记录的持续性，系统也可对任何终端的学习行为进行监控。</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3.按照教学计划，可在移动</w:t>
            </w:r>
            <w:proofErr w:type="gramStart"/>
            <w:r w:rsidRPr="00E221E0">
              <w:rPr>
                <w:rFonts w:ascii="宋体" w:eastAsia="宋体" w:hAnsi="宋体" w:cs="Times New Roman" w:hint="eastAsia"/>
                <w:sz w:val="24"/>
                <w:szCs w:val="24"/>
              </w:rPr>
              <w:t>端组织</w:t>
            </w:r>
            <w:proofErr w:type="gramEnd"/>
            <w:r w:rsidRPr="00E221E0">
              <w:rPr>
                <w:rFonts w:ascii="宋体" w:eastAsia="宋体" w:hAnsi="宋体" w:cs="Times New Roman" w:hint="eastAsia"/>
                <w:sz w:val="24"/>
                <w:szCs w:val="24"/>
              </w:rPr>
              <w:t>教学内容，有序安排资料推送、签到、问答、抢答、投票等教学活动，可实现互动内容课堂发放并复用。</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 xml:space="preserve">4.教师可以发布课堂签到，学生直接用手机通过扫描二维码、或输入教师分享的邀请码等方式进行签到，显示距离发起者的签到距离。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5.教师可以在课堂上发布问题，通过抢答进行提问，学生同时在手机收到抢答请求进行抢答。</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6.教师可通过随机选人功能选择学生回答问题，并可以将选择结果投屏显示。</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 xml:space="preserve">7.教师可以在课堂上实时发布调查问卷，学生通过移动端进行投票。教师端可以立即统计投票结果。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 xml:space="preserve">8.课堂结束后，可以将所有课堂上发布的控件进行记录，生成课堂历史记录。能实时查看任一活动的详细参与情况。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 xml:space="preserve">9.可基于课程形成师生互动交流群，实时进行即时通讯，进行讨论与交流。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lastRenderedPageBreak/>
              <w:t xml:space="preserve">10.教师可以编辑问答题并可将题目发布到学生端，学生可以回答问题并提交，教师可以实时查看学生提交结果。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11.教师和学生可以开展话题讨论，利用发</w:t>
            </w:r>
            <w:proofErr w:type="gramStart"/>
            <w:r w:rsidRPr="00E221E0">
              <w:rPr>
                <w:rFonts w:ascii="宋体" w:eastAsia="宋体" w:hAnsi="宋体" w:cs="Times New Roman" w:hint="eastAsia"/>
                <w:sz w:val="24"/>
                <w:szCs w:val="24"/>
              </w:rPr>
              <w:t>帖形式</w:t>
            </w:r>
            <w:proofErr w:type="gramEnd"/>
            <w:r w:rsidRPr="00E221E0">
              <w:rPr>
                <w:rFonts w:ascii="宋体" w:eastAsia="宋体" w:hAnsi="宋体" w:cs="Times New Roman" w:hint="eastAsia"/>
                <w:sz w:val="24"/>
                <w:szCs w:val="24"/>
              </w:rPr>
              <w:t xml:space="preserve">进行小组话题交流。                   </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12.教师在课前对资料进行云盘存储，课堂上可以利用云盘功能选择和自己课程相关的资料进行资料推送，推送完成后参与教学的学生和教师都可以查看资料的详细内容。</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13.学生在移动端进行视频学习时，系统自动记录所有学习行为，完成视频学习任务点后系统自动同步学习记录与PC端相同。同时将视频学习成绩计算后加入综合成绩中。</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15.教师可以通过手机在课程中发布考试试卷和查看考试分项统计结果，学生同样可以通过移动端进行在线考试和查看考试信息。</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16.学生的课堂签到情况、课堂表现等都以积分形式形成评价，可转换为平时成绩；在线课程的学习同时记录作业成绩、考试成绩、按照老师设计的成绩权重</w:t>
            </w:r>
            <w:r w:rsidRPr="00E221E0">
              <w:rPr>
                <w:rFonts w:ascii="宋体" w:eastAsia="宋体" w:hAnsi="宋体" w:cs="Times New Roman" w:hint="eastAsia"/>
                <w:sz w:val="24"/>
                <w:szCs w:val="24"/>
              </w:rPr>
              <w:lastRenderedPageBreak/>
              <w:t>给出综合评价。</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17.可以阅读海量电子图书、报纸、期刊、专题等资源，可以订阅到自己的空间，并进行分类管理；可以对所有精彩的内容进行分享。</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18.基于真实身份、课程、读书等学习行为及学生活动的社交互动，形成趣味式的成长花瓣，引发学习激励。包括：小组、私有笔记、共享笔记、阅读时间等。</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19.可以按照组织架构建立通讯录，可查看组织内所有人的联系方式，也可以根据实际情况进行个人信息适当范围的私</w:t>
            </w:r>
            <w:proofErr w:type="gramStart"/>
            <w:r w:rsidRPr="00E221E0">
              <w:rPr>
                <w:rFonts w:ascii="宋体" w:eastAsia="宋体" w:hAnsi="宋体" w:cs="Times New Roman" w:hint="eastAsia"/>
                <w:sz w:val="24"/>
                <w:szCs w:val="24"/>
              </w:rPr>
              <w:t>密保护</w:t>
            </w:r>
            <w:proofErr w:type="gramEnd"/>
            <w:r w:rsidRPr="00E221E0">
              <w:rPr>
                <w:rFonts w:ascii="宋体" w:eastAsia="宋体" w:hAnsi="宋体" w:cs="Times New Roman" w:hint="eastAsia"/>
                <w:sz w:val="24"/>
                <w:szCs w:val="24"/>
              </w:rPr>
              <w:t>设置。</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20.教务通知、教师课程通知、小组通知、个人互相通知的即时消息任意组合设置，实时发送，实时接收，并可查看通知阅读状态，已读和未读名单。教师、学生都可以进行实时的移动通知、组建小组群聊（也可设置屏蔽提醒）、好友验证等即时通信。</w:t>
            </w:r>
          </w:p>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21.支持手机端、电脑端发起视频直播，学生可以通过手机观看直播并留言。</w:t>
            </w:r>
          </w:p>
        </w:tc>
        <w:tc>
          <w:tcPr>
            <w:tcW w:w="95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p>
        </w:tc>
      </w:tr>
      <w:tr w:rsidR="00E221E0" w:rsidRPr="00E221E0" w:rsidTr="00AB53F6">
        <w:tc>
          <w:tcPr>
            <w:tcW w:w="595"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lastRenderedPageBreak/>
              <w:t>4</w:t>
            </w:r>
          </w:p>
        </w:tc>
        <w:tc>
          <w:tcPr>
            <w:tcW w:w="84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▲专家指导</w:t>
            </w:r>
          </w:p>
        </w:tc>
        <w:tc>
          <w:tcPr>
            <w:tcW w:w="2601"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r w:rsidRPr="00E221E0">
              <w:rPr>
                <w:rFonts w:ascii="宋体" w:eastAsia="宋体" w:hAnsi="宋体" w:cs="Times New Roman" w:hint="eastAsia"/>
                <w:sz w:val="24"/>
                <w:szCs w:val="24"/>
              </w:rPr>
              <w:t>★邀请</w:t>
            </w:r>
            <w:proofErr w:type="gramStart"/>
            <w:r w:rsidRPr="00E221E0">
              <w:rPr>
                <w:rFonts w:ascii="宋体" w:eastAsia="宋体" w:hAnsi="宋体" w:cs="Times New Roman" w:hint="eastAsia"/>
                <w:sz w:val="24"/>
                <w:szCs w:val="24"/>
              </w:rPr>
              <w:t>大赛国</w:t>
            </w:r>
            <w:proofErr w:type="gramEnd"/>
            <w:r w:rsidRPr="00E221E0">
              <w:rPr>
                <w:rFonts w:ascii="宋体" w:eastAsia="宋体" w:hAnsi="宋体" w:cs="Times New Roman" w:hint="eastAsia"/>
                <w:sz w:val="24"/>
                <w:szCs w:val="24"/>
              </w:rPr>
              <w:t>赛一等奖获得者或者国赛评委专家组成员进行作品指导和现场答辩指导。</w:t>
            </w:r>
          </w:p>
        </w:tc>
        <w:tc>
          <w:tcPr>
            <w:tcW w:w="957" w:type="pct"/>
            <w:vAlign w:val="center"/>
          </w:tcPr>
          <w:p w:rsidR="00E221E0" w:rsidRPr="00E221E0" w:rsidRDefault="00E221E0" w:rsidP="00E221E0">
            <w:pPr>
              <w:spacing w:line="360" w:lineRule="auto"/>
              <w:ind w:firstLineChars="225" w:firstLine="540"/>
              <w:rPr>
                <w:rFonts w:ascii="宋体" w:eastAsia="宋体" w:hAnsi="宋体" w:cs="Times New Roman"/>
                <w:sz w:val="24"/>
                <w:szCs w:val="24"/>
              </w:rPr>
            </w:pPr>
          </w:p>
        </w:tc>
      </w:tr>
    </w:tbl>
    <w:p w:rsidR="00E221E0" w:rsidRDefault="00E221E0" w:rsidP="00F477CE">
      <w:pPr>
        <w:spacing w:line="360" w:lineRule="auto"/>
        <w:ind w:firstLineChars="225" w:firstLine="540"/>
        <w:rPr>
          <w:rFonts w:ascii="宋体" w:eastAsia="宋体" w:hAnsi="宋体" w:cs="Times New Roman"/>
          <w:sz w:val="24"/>
          <w:szCs w:val="24"/>
        </w:rPr>
      </w:pPr>
    </w:p>
    <w:p w:rsidR="00E221E0" w:rsidRPr="00E221E0" w:rsidRDefault="00E221E0" w:rsidP="00F477CE">
      <w:pPr>
        <w:spacing w:line="360" w:lineRule="auto"/>
        <w:ind w:firstLineChars="225" w:firstLine="540"/>
        <w:rPr>
          <w:rFonts w:ascii="宋体" w:eastAsia="宋体" w:hAnsi="宋体" w:cs="Times New Roman"/>
          <w:sz w:val="24"/>
          <w:szCs w:val="24"/>
        </w:rPr>
      </w:pPr>
    </w:p>
    <w:p w:rsidR="00E221E0" w:rsidRDefault="00E221E0" w:rsidP="00F477CE">
      <w:pPr>
        <w:spacing w:line="360" w:lineRule="auto"/>
        <w:ind w:firstLineChars="225" w:firstLine="540"/>
        <w:rPr>
          <w:rFonts w:ascii="宋体" w:eastAsia="宋体" w:hAnsi="宋体" w:cs="Times New Roman"/>
          <w:sz w:val="24"/>
          <w:szCs w:val="24"/>
        </w:rPr>
      </w:pPr>
    </w:p>
    <w:p w:rsidR="00E221E0" w:rsidRDefault="00E221E0" w:rsidP="00F477CE">
      <w:pPr>
        <w:spacing w:line="360" w:lineRule="auto"/>
        <w:ind w:firstLineChars="225" w:firstLine="540"/>
        <w:rPr>
          <w:rFonts w:ascii="宋体" w:eastAsia="宋体" w:hAnsi="宋体" w:cs="Times New Roman"/>
          <w:sz w:val="24"/>
          <w:szCs w:val="24"/>
        </w:rPr>
      </w:pPr>
    </w:p>
    <w:p w:rsidR="00F477CE" w:rsidRPr="00F477CE" w:rsidRDefault="00F477CE" w:rsidP="00F477CE">
      <w:pPr>
        <w:spacing w:line="360" w:lineRule="auto"/>
        <w:ind w:firstLineChars="225" w:firstLine="540"/>
        <w:rPr>
          <w:rFonts w:ascii="宋体" w:eastAsia="宋体" w:hAnsi="宋体" w:cs="Times New Roman"/>
          <w:sz w:val="24"/>
          <w:szCs w:val="24"/>
        </w:rPr>
      </w:pPr>
      <w:r w:rsidRPr="00F477CE">
        <w:rPr>
          <w:rFonts w:ascii="宋体" w:eastAsia="宋体" w:hAnsi="宋体" w:cs="Times New Roman" w:hint="eastAsia"/>
          <w:sz w:val="24"/>
          <w:szCs w:val="24"/>
        </w:rPr>
        <w:lastRenderedPageBreak/>
        <w:t>编制说明：</w:t>
      </w:r>
    </w:p>
    <w:p w:rsidR="00F477CE" w:rsidRPr="00F477CE" w:rsidRDefault="00F477CE" w:rsidP="00F477CE">
      <w:pPr>
        <w:spacing w:line="360" w:lineRule="auto"/>
        <w:ind w:firstLineChars="225" w:firstLine="540"/>
        <w:rPr>
          <w:rFonts w:ascii="宋体" w:eastAsia="宋体" w:hAnsi="宋体" w:cs="Times New Roman"/>
          <w:bCs/>
          <w:sz w:val="24"/>
          <w:szCs w:val="24"/>
        </w:rPr>
      </w:pPr>
      <w:r w:rsidRPr="00F477CE">
        <w:rPr>
          <w:rFonts w:ascii="宋体" w:eastAsia="宋体" w:hAnsi="宋体" w:cs="Times New Roman" w:hint="eastAsia"/>
          <w:bCs/>
          <w:sz w:val="24"/>
          <w:szCs w:val="24"/>
        </w:rPr>
        <w:t>1、本货物需求一览表中技术参数要分条罗列，并标注“★”来区分关键性和非关键性参数，“★”号参数原则上要求供应商必须</w:t>
      </w:r>
      <w:proofErr w:type="gramStart"/>
      <w:r w:rsidRPr="00F477CE">
        <w:rPr>
          <w:rFonts w:ascii="宋体" w:eastAsia="宋体" w:hAnsi="宋体" w:cs="Times New Roman" w:hint="eastAsia"/>
          <w:bCs/>
          <w:sz w:val="24"/>
          <w:szCs w:val="24"/>
        </w:rPr>
        <w:t>完全响应</w:t>
      </w:r>
      <w:proofErr w:type="gramEnd"/>
      <w:r w:rsidRPr="00F477CE">
        <w:rPr>
          <w:rFonts w:ascii="宋体" w:eastAsia="宋体" w:hAnsi="宋体" w:cs="Times New Roman" w:hint="eastAsia"/>
          <w:bCs/>
          <w:sz w:val="24"/>
          <w:szCs w:val="24"/>
        </w:rPr>
        <w:t>或优于响应。填写产品技术参数时，建议根据产品的主要性能指标填写，非关键技术指标或与产品性能无关的指标建议少提或者不提，不建议完全复制某特定型号产品的技术参数。</w:t>
      </w:r>
    </w:p>
    <w:p w:rsidR="00F477CE" w:rsidRP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2、 请采购人选择价值高或数量大的核心产品，并在技术需求中标注▲号产品，▲号产品随评审结果一并公示名称、规格、型号、数量、单价等信息。</w:t>
      </w:r>
    </w:p>
    <w:p w:rsidR="00F477CE" w:rsidRP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3、定量参数尽量用“≥</w:t>
      </w:r>
      <w:r w:rsidRPr="00F477CE">
        <w:rPr>
          <w:rFonts w:ascii="宋体" w:eastAsia="宋体" w:hAnsi="宋体" w:cs="Times New Roman"/>
          <w:bCs/>
          <w:sz w:val="24"/>
          <w:szCs w:val="24"/>
        </w:rPr>
        <w:t>”</w:t>
      </w:r>
      <w:r w:rsidRPr="00F477CE">
        <w:rPr>
          <w:rFonts w:ascii="宋体" w:eastAsia="宋体" w:hAnsi="宋体" w:cs="Times New Roman" w:hint="eastAsia"/>
          <w:bCs/>
          <w:sz w:val="24"/>
          <w:szCs w:val="24"/>
        </w:rPr>
        <w:t>或“≤”表示。</w:t>
      </w:r>
    </w:p>
    <w:p w:rsidR="00F477CE" w:rsidRP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4、对每包“货物需求一览表”中价值高的核心设备或批量大</w:t>
      </w:r>
      <w:proofErr w:type="gramStart"/>
      <w:r w:rsidRPr="00F477CE">
        <w:rPr>
          <w:rFonts w:ascii="宋体" w:eastAsia="宋体" w:hAnsi="宋体" w:cs="Times New Roman" w:hint="eastAsia"/>
          <w:bCs/>
          <w:sz w:val="24"/>
          <w:szCs w:val="24"/>
        </w:rPr>
        <w:t>且品牌</w:t>
      </w:r>
      <w:proofErr w:type="gramEnd"/>
      <w:r w:rsidRPr="00F477CE">
        <w:rPr>
          <w:rFonts w:ascii="宋体" w:eastAsia="宋体" w:hAnsi="宋体" w:cs="Times New Roman" w:hint="eastAsia"/>
          <w:bCs/>
          <w:sz w:val="24"/>
          <w:szCs w:val="24"/>
        </w:rPr>
        <w:t>竞争充分的设备可要求投标时提供产品授权。</w:t>
      </w:r>
    </w:p>
    <w:p w:rsidR="00F477CE" w:rsidRP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5、产品证明文件。对省内、国内、行业强制要求取得的认证须在招标文件中注明，其他证书不得作为强制要求。</w:t>
      </w:r>
    </w:p>
    <w:p w:rsidR="00F477CE" w:rsidRP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6、进口产品。如需采购进口产品须先到政府采购管理部门申请批准。</w:t>
      </w:r>
    </w:p>
    <w:p w:rsidR="00F477CE" w:rsidRDefault="00F477CE" w:rsidP="00F477CE">
      <w:pPr>
        <w:ind w:firstLineChars="100" w:firstLine="240"/>
        <w:rPr>
          <w:rFonts w:ascii="宋体" w:eastAsia="宋体" w:hAnsi="宋体" w:cs="Times New Roman"/>
          <w:bCs/>
          <w:sz w:val="24"/>
          <w:szCs w:val="24"/>
        </w:rPr>
      </w:pPr>
      <w:r w:rsidRPr="00F477CE">
        <w:rPr>
          <w:rFonts w:ascii="宋体" w:eastAsia="宋体" w:hAnsi="宋体" w:cs="Times New Roman" w:hint="eastAsia"/>
          <w:bCs/>
          <w:sz w:val="24"/>
          <w:szCs w:val="24"/>
        </w:rPr>
        <w:t>7、质保及服务要求。原则上执行国家标准质保规定，需要购买超过标准质保的服务，须在招标文件中作为购买服务单独列明，要求供应商单独明确报价，并在供货时提供质保服务承诺函。</w:t>
      </w:r>
    </w:p>
    <w:p w:rsidR="004805B3" w:rsidRPr="004805B3" w:rsidRDefault="004805B3" w:rsidP="00F477CE">
      <w:pPr>
        <w:ind w:firstLineChars="100" w:firstLine="240"/>
        <w:rPr>
          <w:rFonts w:ascii="宋体" w:eastAsia="宋体" w:hAnsi="宋体" w:cs="Times New Roman"/>
          <w:bCs/>
          <w:sz w:val="24"/>
          <w:szCs w:val="24"/>
        </w:rPr>
      </w:pPr>
      <w:r>
        <w:rPr>
          <w:rFonts w:ascii="宋体" w:hAnsi="宋体" w:hint="eastAsia"/>
          <w:bCs/>
          <w:sz w:val="24"/>
        </w:rPr>
        <w:t>8、需</w:t>
      </w:r>
      <w:r w:rsidR="00972942">
        <w:rPr>
          <w:rFonts w:ascii="宋体" w:hAnsi="宋体" w:hint="eastAsia"/>
          <w:bCs/>
          <w:sz w:val="24"/>
        </w:rPr>
        <w:t>求</w:t>
      </w:r>
      <w:r>
        <w:rPr>
          <w:rFonts w:ascii="宋体" w:hAnsi="宋体" w:hint="eastAsia"/>
          <w:bCs/>
          <w:sz w:val="24"/>
        </w:rPr>
        <w:t>表中的各项家具尺寸、颜色、规格型号及放置地点、位置等需与项目负责人进行详细沟通，否则风险自负。</w:t>
      </w:r>
    </w:p>
    <w:p w:rsidR="00F477CE" w:rsidRPr="00F477CE" w:rsidRDefault="00B8352A" w:rsidP="00F477CE">
      <w:pPr>
        <w:spacing w:line="360" w:lineRule="auto"/>
        <w:rPr>
          <w:rFonts w:ascii="宋体" w:eastAsia="宋体" w:hAnsi="宋体" w:cs="Times New Roman"/>
          <w:b/>
          <w:sz w:val="28"/>
          <w:szCs w:val="28"/>
        </w:rPr>
      </w:pPr>
      <w:r>
        <w:rPr>
          <w:rFonts w:ascii="宋体" w:eastAsia="宋体" w:hAnsi="宋体" w:cs="Times New Roman" w:hint="eastAsia"/>
          <w:b/>
          <w:sz w:val="28"/>
          <w:szCs w:val="28"/>
        </w:rPr>
        <w:t>（</w:t>
      </w:r>
      <w:r w:rsidR="00F477CE" w:rsidRPr="00F477CE">
        <w:rPr>
          <w:rFonts w:ascii="宋体" w:eastAsia="宋体" w:hAnsi="宋体" w:cs="Times New Roman" w:hint="eastAsia"/>
          <w:b/>
          <w:sz w:val="28"/>
          <w:szCs w:val="28"/>
        </w:rPr>
        <w:t>三</w:t>
      </w:r>
      <w:r>
        <w:rPr>
          <w:rFonts w:ascii="宋体" w:eastAsia="宋体" w:hAnsi="宋体" w:cs="Times New Roman" w:hint="eastAsia"/>
          <w:b/>
          <w:sz w:val="28"/>
          <w:szCs w:val="28"/>
        </w:rPr>
        <w:t>）</w:t>
      </w:r>
      <w:r w:rsidR="00F477CE" w:rsidRPr="00F477CE">
        <w:rPr>
          <w:rFonts w:ascii="宋体" w:eastAsia="宋体" w:hAnsi="宋体" w:cs="Times New Roman" w:hint="eastAsia"/>
          <w:b/>
          <w:sz w:val="28"/>
          <w:szCs w:val="28"/>
        </w:rPr>
        <w:t>、采购要求及服务需求</w:t>
      </w:r>
    </w:p>
    <w:p w:rsidR="00F477CE" w:rsidRPr="00F477CE" w:rsidRDefault="00F477CE" w:rsidP="00F477CE">
      <w:pPr>
        <w:adjustRightInd w:val="0"/>
        <w:snapToGrid w:val="0"/>
        <w:ind w:firstLineChars="200" w:firstLine="420"/>
        <w:rPr>
          <w:rFonts w:ascii="宋体" w:eastAsia="宋体" w:hAnsi="宋体" w:cs="宋体"/>
          <w:b/>
          <w:szCs w:val="21"/>
        </w:rPr>
      </w:pPr>
      <w:r w:rsidRPr="00F477CE">
        <w:rPr>
          <w:rFonts w:ascii="宋体" w:eastAsia="宋体" w:hAnsi="宋体" w:cs="宋体" w:hint="eastAsia"/>
          <w:szCs w:val="21"/>
        </w:rPr>
        <w:t>1、报价要求：</w:t>
      </w:r>
      <w:r w:rsidR="00E221E0">
        <w:rPr>
          <w:rFonts w:ascii="宋体" w:eastAsia="宋体" w:hAnsi="宋体" w:cs="宋体" w:hint="eastAsia"/>
          <w:szCs w:val="21"/>
        </w:rPr>
        <w:t>报</w:t>
      </w:r>
      <w:r w:rsidRPr="00F477CE">
        <w:rPr>
          <w:rFonts w:ascii="宋体" w:eastAsia="宋体" w:hAnsi="宋体" w:cs="宋体" w:hint="eastAsia"/>
          <w:szCs w:val="21"/>
        </w:rPr>
        <w:t>价响应供应商报价时须写明货物名称、</w:t>
      </w:r>
      <w:r w:rsidRPr="00F477CE">
        <w:rPr>
          <w:rFonts w:ascii="宋体" w:eastAsia="宋体" w:hAnsi="宋体" w:cs="宋体" w:hint="eastAsia"/>
          <w:bCs/>
          <w:szCs w:val="21"/>
        </w:rPr>
        <w:t>规格参数</w:t>
      </w:r>
      <w:r w:rsidRPr="00F477CE">
        <w:rPr>
          <w:rFonts w:ascii="宋体" w:eastAsia="宋体" w:hAnsi="宋体" w:cs="宋体" w:hint="eastAsia"/>
          <w:szCs w:val="21"/>
        </w:rPr>
        <w:t>、单位、数量、单价及总价</w:t>
      </w:r>
      <w:r w:rsidRPr="00F477CE">
        <w:rPr>
          <w:rFonts w:ascii="宋体" w:eastAsia="宋体" w:hAnsi="宋体" w:cs="宋体" w:hint="eastAsia"/>
          <w:kern w:val="0"/>
          <w:szCs w:val="21"/>
        </w:rPr>
        <w:t>,</w:t>
      </w:r>
      <w:r w:rsidRPr="00F477CE">
        <w:rPr>
          <w:rFonts w:ascii="宋体" w:eastAsia="宋体" w:hAnsi="宋体" w:cs="宋体" w:hint="eastAsia"/>
          <w:szCs w:val="21"/>
        </w:rPr>
        <w:t>报价包含本项目在交付采购单位使用前所有可能发生的一切费用，定标后不再增补任何费用；</w:t>
      </w:r>
    </w:p>
    <w:p w:rsidR="00F477CE" w:rsidRPr="00F477CE" w:rsidRDefault="00F477CE" w:rsidP="00F477CE">
      <w:pPr>
        <w:adjustRightInd w:val="0"/>
        <w:snapToGrid w:val="0"/>
        <w:ind w:firstLineChars="200" w:firstLine="420"/>
        <w:rPr>
          <w:rFonts w:ascii="宋体" w:eastAsia="宋体" w:hAnsi="宋体" w:cs="宋体"/>
          <w:szCs w:val="21"/>
        </w:rPr>
      </w:pPr>
      <w:r w:rsidRPr="00F477CE">
        <w:rPr>
          <w:rFonts w:ascii="宋体" w:eastAsia="宋体" w:hAnsi="宋体" w:cs="宋体" w:hint="eastAsia"/>
          <w:szCs w:val="21"/>
        </w:rPr>
        <w:t>2、交货期：合同签订后</w:t>
      </w:r>
      <w:r w:rsidR="00E221E0">
        <w:rPr>
          <w:rFonts w:ascii="宋体" w:eastAsia="宋体" w:hAnsi="宋体" w:cs="宋体" w:hint="eastAsia"/>
          <w:szCs w:val="21"/>
        </w:rPr>
        <w:t>5</w:t>
      </w:r>
      <w:r w:rsidRPr="00F477CE">
        <w:rPr>
          <w:rFonts w:ascii="宋体" w:eastAsia="宋体" w:hAnsi="宋体" w:cs="宋体" w:hint="eastAsia"/>
          <w:szCs w:val="21"/>
        </w:rPr>
        <w:t>个</w:t>
      </w:r>
      <w:proofErr w:type="gramStart"/>
      <w:r w:rsidRPr="00F477CE">
        <w:rPr>
          <w:rFonts w:ascii="宋体" w:eastAsia="宋体" w:hAnsi="宋体" w:cs="宋体" w:hint="eastAsia"/>
          <w:szCs w:val="21"/>
        </w:rPr>
        <w:t>日历天</w:t>
      </w:r>
      <w:proofErr w:type="gramEnd"/>
      <w:r w:rsidRPr="00F477CE">
        <w:rPr>
          <w:rFonts w:ascii="宋体" w:eastAsia="宋体" w:hAnsi="宋体" w:cs="宋体" w:hint="eastAsia"/>
          <w:szCs w:val="21"/>
        </w:rPr>
        <w:t>内免费送达采购单位指定地点并完成安装、摆放到位；</w:t>
      </w:r>
    </w:p>
    <w:p w:rsidR="00F477CE" w:rsidRPr="00F477CE" w:rsidRDefault="00F477CE" w:rsidP="00F477CE">
      <w:pPr>
        <w:adjustRightInd w:val="0"/>
        <w:snapToGrid w:val="0"/>
        <w:ind w:firstLineChars="200" w:firstLine="420"/>
        <w:rPr>
          <w:rFonts w:ascii="宋体" w:eastAsia="宋体" w:hAnsi="宋体" w:cs="宋体"/>
          <w:szCs w:val="21"/>
        </w:rPr>
      </w:pPr>
      <w:r w:rsidRPr="00F477CE">
        <w:rPr>
          <w:rFonts w:ascii="宋体" w:eastAsia="宋体" w:hAnsi="宋体" w:cs="宋体" w:hint="eastAsia"/>
          <w:szCs w:val="21"/>
        </w:rPr>
        <w:t>3、供货地点：</w:t>
      </w:r>
      <w:r w:rsidR="00E221E0">
        <w:rPr>
          <w:rFonts w:ascii="宋体" w:eastAsia="宋体" w:hAnsi="宋体" w:cs="宋体" w:hint="eastAsia"/>
          <w:szCs w:val="21"/>
        </w:rPr>
        <w:t>安徽电子信息职业技术学院</w:t>
      </w:r>
      <w:r w:rsidRPr="00F477CE">
        <w:rPr>
          <w:rFonts w:ascii="宋体" w:eastAsia="宋体" w:hAnsi="宋体" w:cs="宋体" w:hint="eastAsia"/>
          <w:szCs w:val="21"/>
        </w:rPr>
        <w:t>指定地点；</w:t>
      </w:r>
    </w:p>
    <w:p w:rsidR="00F477CE" w:rsidRPr="00F477CE" w:rsidRDefault="00F477CE" w:rsidP="00F477CE">
      <w:pPr>
        <w:adjustRightInd w:val="0"/>
        <w:snapToGrid w:val="0"/>
        <w:ind w:firstLineChars="200" w:firstLine="420"/>
        <w:rPr>
          <w:rFonts w:ascii="宋体" w:eastAsia="宋体" w:hAnsi="宋体" w:cs="宋体"/>
          <w:szCs w:val="21"/>
        </w:rPr>
      </w:pPr>
      <w:r w:rsidRPr="00F477CE">
        <w:rPr>
          <w:rFonts w:ascii="宋体" w:eastAsia="宋体" w:hAnsi="宋体" w:cs="宋体" w:hint="eastAsia"/>
          <w:szCs w:val="21"/>
        </w:rPr>
        <w:t>4、质量要求：供应商应保证提供的货物是全新包装完整，未使用过的；</w:t>
      </w:r>
    </w:p>
    <w:p w:rsidR="00E221E0" w:rsidRPr="00E221E0" w:rsidRDefault="00F477CE" w:rsidP="00E221E0">
      <w:pPr>
        <w:adjustRightInd w:val="0"/>
        <w:snapToGrid w:val="0"/>
        <w:ind w:firstLineChars="200" w:firstLine="420"/>
        <w:rPr>
          <w:rFonts w:ascii="宋体" w:eastAsia="宋体" w:hAnsi="宋体" w:cs="宋体"/>
          <w:szCs w:val="21"/>
        </w:rPr>
      </w:pPr>
      <w:r w:rsidRPr="00F477CE">
        <w:rPr>
          <w:rFonts w:ascii="宋体" w:eastAsia="宋体" w:hAnsi="宋体" w:cs="宋体" w:hint="eastAsia"/>
          <w:szCs w:val="21"/>
        </w:rPr>
        <w:t>5、技术要求：</w:t>
      </w:r>
      <w:r w:rsidR="00E221E0" w:rsidRPr="00F477CE">
        <w:rPr>
          <w:rFonts w:ascii="宋体" w:eastAsia="宋体" w:hAnsi="宋体" w:cs="宋体"/>
          <w:szCs w:val="21"/>
        </w:rPr>
        <w:t xml:space="preserve"> </w:t>
      </w:r>
      <w:r w:rsidR="00E221E0">
        <w:rPr>
          <w:rFonts w:ascii="宋体" w:eastAsia="宋体" w:hAnsi="宋体" w:cs="宋体" w:hint="eastAsia"/>
          <w:szCs w:val="21"/>
        </w:rPr>
        <w:t>（1）</w:t>
      </w:r>
      <w:r w:rsidR="00E221E0" w:rsidRPr="00E221E0">
        <w:rPr>
          <w:rFonts w:ascii="宋体" w:eastAsia="宋体" w:hAnsi="宋体" w:cs="宋体"/>
          <w:b/>
          <w:szCs w:val="21"/>
        </w:rPr>
        <w:t>★</w:t>
      </w:r>
      <w:r w:rsidR="00E221E0" w:rsidRPr="00E221E0">
        <w:rPr>
          <w:rFonts w:ascii="宋体" w:eastAsia="宋体" w:hAnsi="宋体" w:cs="宋体" w:hint="eastAsia"/>
          <w:szCs w:val="21"/>
        </w:rPr>
        <w:t>视频拍摄制作须在要求时间内完成；</w:t>
      </w:r>
    </w:p>
    <w:p w:rsidR="00F477CE" w:rsidRPr="00E221E0" w:rsidRDefault="00E221E0" w:rsidP="00E221E0">
      <w:pPr>
        <w:adjustRightInd w:val="0"/>
        <w:snapToGrid w:val="0"/>
        <w:ind w:firstLineChars="900" w:firstLine="1890"/>
        <w:rPr>
          <w:rFonts w:ascii="宋体" w:eastAsia="宋体" w:hAnsi="宋体" w:cs="宋体"/>
          <w:szCs w:val="21"/>
        </w:rPr>
      </w:pPr>
      <w:r>
        <w:rPr>
          <w:rFonts w:ascii="宋体" w:eastAsia="宋体" w:hAnsi="宋体" w:cs="宋体" w:hint="eastAsia"/>
          <w:szCs w:val="21"/>
        </w:rPr>
        <w:t>（2）</w:t>
      </w:r>
      <w:r w:rsidRPr="00E221E0">
        <w:rPr>
          <w:rFonts w:ascii="宋体" w:eastAsia="宋体" w:hAnsi="宋体" w:cs="宋体"/>
          <w:b/>
          <w:szCs w:val="21"/>
        </w:rPr>
        <w:t>★</w:t>
      </w:r>
      <w:r w:rsidRPr="00E221E0">
        <w:rPr>
          <w:rFonts w:ascii="宋体" w:eastAsia="宋体" w:hAnsi="宋体" w:cs="宋体" w:hint="eastAsia"/>
          <w:szCs w:val="21"/>
        </w:rPr>
        <w:t>视频须符合质量要求，并在要求日期提前一个工作日提供。</w:t>
      </w:r>
    </w:p>
    <w:p w:rsidR="00F477CE" w:rsidRPr="00F477CE" w:rsidRDefault="00F477CE" w:rsidP="00F477CE">
      <w:pPr>
        <w:spacing w:line="360" w:lineRule="auto"/>
        <w:ind w:firstLineChars="196" w:firstLine="412"/>
        <w:rPr>
          <w:rFonts w:ascii="宋体" w:eastAsia="宋体" w:hAnsi="宋体" w:cs="Times New Roman"/>
          <w:b/>
          <w:sz w:val="28"/>
          <w:szCs w:val="28"/>
        </w:rPr>
      </w:pPr>
      <w:r w:rsidRPr="00F477CE">
        <w:rPr>
          <w:rFonts w:ascii="宋体" w:eastAsia="宋体" w:hAnsi="宋体" w:cs="宋体" w:hint="eastAsia"/>
          <w:szCs w:val="21"/>
        </w:rPr>
        <w:t>6、售后服务：自产品交付使用验收合格之日起，提供一年以上免费保修（含一年），询价响应供应商可提供更长的保修年限，必须在询价响应文件中明确所响应设备的具体保修年限，质保期内无偿为采购单位提供免费维修服务。若产品在使用中发生质量问题，在收到采购单位反馈后，</w:t>
      </w:r>
      <w:r w:rsidR="00E221E0">
        <w:rPr>
          <w:rFonts w:ascii="宋体" w:eastAsia="宋体" w:hAnsi="宋体" w:cs="宋体" w:hint="eastAsia"/>
          <w:szCs w:val="21"/>
        </w:rPr>
        <w:t>12</w:t>
      </w:r>
      <w:r w:rsidRPr="00F477CE">
        <w:rPr>
          <w:rFonts w:ascii="宋体" w:eastAsia="宋体" w:hAnsi="宋体" w:cs="宋体" w:hint="eastAsia"/>
          <w:szCs w:val="21"/>
        </w:rPr>
        <w:t>小时以内完成甲方提出的合理维修、更换要求</w:t>
      </w:r>
      <w:r w:rsidR="00675379">
        <w:rPr>
          <w:rFonts w:ascii="宋体" w:eastAsia="宋体" w:hAnsi="宋体" w:cs="宋体" w:hint="eastAsia"/>
          <w:szCs w:val="21"/>
        </w:rPr>
        <w:t>。</w:t>
      </w:r>
      <w:bookmarkStart w:id="1" w:name="_GoBack"/>
      <w:bookmarkEnd w:id="1"/>
    </w:p>
    <w:p w:rsidR="00830416" w:rsidRPr="00830416" w:rsidRDefault="00830416" w:rsidP="00830416">
      <w:pPr>
        <w:keepNext/>
        <w:spacing w:line="360" w:lineRule="auto"/>
        <w:jc w:val="center"/>
        <w:outlineLvl w:val="0"/>
        <w:rPr>
          <w:rFonts w:ascii="宋体" w:eastAsia="宋体" w:hAnsi="宋体" w:cs="Times New Roman"/>
          <w:b/>
          <w:sz w:val="28"/>
          <w:szCs w:val="32"/>
        </w:rPr>
      </w:pPr>
      <w:r w:rsidRPr="00830416">
        <w:rPr>
          <w:rFonts w:ascii="宋体" w:eastAsia="宋体" w:hAnsi="宋体" w:cs="Times New Roman" w:hint="eastAsia"/>
          <w:b/>
          <w:sz w:val="28"/>
          <w:szCs w:val="32"/>
        </w:rPr>
        <w:t>六、综合评分表</w:t>
      </w:r>
    </w:p>
    <w:p w:rsidR="00830416" w:rsidRPr="00830416" w:rsidRDefault="00830416" w:rsidP="00830416">
      <w:pPr>
        <w:rPr>
          <w:b/>
        </w:rPr>
      </w:pPr>
    </w:p>
    <w:p w:rsidR="00830416" w:rsidRPr="00830416" w:rsidRDefault="00830416" w:rsidP="00830416">
      <w:pPr>
        <w:ind w:firstLineChars="200" w:firstLine="420"/>
        <w:rPr>
          <w:lang w:val="x-none"/>
        </w:rPr>
      </w:pPr>
      <w:r w:rsidRPr="00830416">
        <w:rPr>
          <w:rFonts w:hint="eastAsia"/>
          <w:lang w:val="x-none"/>
        </w:rPr>
        <w:t>本项目技术分值占总分值的权重为</w:t>
      </w:r>
      <w:r w:rsidRPr="00830416">
        <w:rPr>
          <w:rFonts w:hint="eastAsia"/>
          <w:u w:val="single"/>
          <w:lang w:val="x-none"/>
        </w:rPr>
        <w:t xml:space="preserve"> 55 </w:t>
      </w:r>
      <w:r w:rsidRPr="00830416">
        <w:rPr>
          <w:rFonts w:hint="eastAsia"/>
          <w:lang w:val="x-none"/>
        </w:rPr>
        <w:t>%</w:t>
      </w:r>
      <w:r w:rsidRPr="00830416">
        <w:rPr>
          <w:rFonts w:hint="eastAsia"/>
          <w:lang w:val="x-none"/>
        </w:rPr>
        <w:t>，</w:t>
      </w:r>
      <w:proofErr w:type="spellStart"/>
      <w:r w:rsidRPr="00830416">
        <w:rPr>
          <w:rFonts w:hint="eastAsia"/>
          <w:lang w:val="x-none"/>
        </w:rPr>
        <w:t>资信分值占总分值的权重为</w:t>
      </w:r>
      <w:proofErr w:type="spellEnd"/>
      <w:r w:rsidRPr="00830416">
        <w:rPr>
          <w:rFonts w:hint="eastAsia"/>
          <w:u w:val="single"/>
          <w:lang w:val="x-none"/>
        </w:rPr>
        <w:t xml:space="preserve"> 30  </w:t>
      </w:r>
      <w:r w:rsidRPr="00830416">
        <w:rPr>
          <w:rFonts w:hint="eastAsia"/>
          <w:lang w:val="x-none"/>
        </w:rPr>
        <w:t>%</w:t>
      </w:r>
      <w:r w:rsidRPr="00830416">
        <w:rPr>
          <w:rFonts w:hint="eastAsia"/>
          <w:lang w:val="x-none"/>
        </w:rPr>
        <w:t>，</w:t>
      </w:r>
      <w:proofErr w:type="spellStart"/>
      <w:r w:rsidRPr="00830416">
        <w:rPr>
          <w:rFonts w:hint="eastAsia"/>
          <w:lang w:val="x-none"/>
        </w:rPr>
        <w:t>价格分值占总分值的权重为</w:t>
      </w:r>
      <w:proofErr w:type="spellEnd"/>
      <w:r w:rsidRPr="00830416">
        <w:rPr>
          <w:rFonts w:hint="eastAsia"/>
          <w:u w:val="single"/>
          <w:lang w:val="x-none"/>
        </w:rPr>
        <w:t xml:space="preserve"> 15 </w:t>
      </w:r>
      <w:r w:rsidRPr="00830416">
        <w:rPr>
          <w:rFonts w:hint="eastAsia"/>
          <w:lang w:val="x-none"/>
        </w:rPr>
        <w:t>%</w:t>
      </w:r>
      <w:r w:rsidRPr="00830416">
        <w:rPr>
          <w:rFonts w:hint="eastAsia"/>
          <w:lang w:val="x-none"/>
        </w:rPr>
        <w:t>。</w:t>
      </w:r>
      <w:proofErr w:type="spellStart"/>
      <w:r w:rsidRPr="00830416">
        <w:rPr>
          <w:rFonts w:hint="eastAsia"/>
          <w:lang w:val="x-none"/>
        </w:rPr>
        <w:t>具体评分细则如下</w:t>
      </w:r>
      <w:proofErr w:type="spellEnd"/>
      <w:r w:rsidRPr="00830416">
        <w:rPr>
          <w:rFonts w:hint="eastAsia"/>
          <w:lang w:val="x-none"/>
        </w:rPr>
        <w:t>：</w:t>
      </w:r>
    </w:p>
    <w:p w:rsidR="00830416" w:rsidRDefault="00830416"/>
    <w:p w:rsidR="00830416" w:rsidRDefault="00830416"/>
    <w:p w:rsidR="00830416" w:rsidRDefault="00830416"/>
    <w:tbl>
      <w:tblPr>
        <w:tblW w:w="94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754"/>
        <w:gridCol w:w="4394"/>
        <w:gridCol w:w="1847"/>
      </w:tblGrid>
      <w:tr w:rsidR="00830416" w:rsidRPr="00830416" w:rsidTr="00AB53F6">
        <w:tc>
          <w:tcPr>
            <w:tcW w:w="1470"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类别</w:t>
            </w:r>
          </w:p>
        </w:tc>
        <w:tc>
          <w:tcPr>
            <w:tcW w:w="175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评分内容</w:t>
            </w:r>
          </w:p>
        </w:tc>
        <w:tc>
          <w:tcPr>
            <w:tcW w:w="439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评分标准</w:t>
            </w:r>
          </w:p>
        </w:tc>
        <w:tc>
          <w:tcPr>
            <w:tcW w:w="1847"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分值范围</w:t>
            </w:r>
          </w:p>
        </w:tc>
      </w:tr>
      <w:tr w:rsidR="00830416" w:rsidRPr="00830416" w:rsidTr="00AB53F6">
        <w:tc>
          <w:tcPr>
            <w:tcW w:w="1470" w:type="dxa"/>
            <w:vMerge w:val="restart"/>
            <w:tcBorders>
              <w:top w:val="single" w:sz="4" w:space="0" w:color="auto"/>
              <w:left w:val="single" w:sz="4" w:space="0" w:color="auto"/>
              <w:right w:val="single" w:sz="4" w:space="0" w:color="auto"/>
            </w:tcBorders>
            <w:vAlign w:val="center"/>
          </w:tcPr>
          <w:p w:rsidR="00830416" w:rsidRPr="00830416" w:rsidRDefault="00830416" w:rsidP="00830416">
            <w:r w:rsidRPr="00830416">
              <w:rPr>
                <w:rFonts w:hint="eastAsia"/>
              </w:rPr>
              <w:t>技术分</w:t>
            </w:r>
          </w:p>
          <w:p w:rsidR="00830416" w:rsidRPr="00830416" w:rsidRDefault="00830416" w:rsidP="00830416">
            <w:pPr>
              <w:rPr>
                <w:b/>
                <w:bCs/>
              </w:rPr>
            </w:pPr>
            <w:r w:rsidRPr="00830416">
              <w:rPr>
                <w:rFonts w:hint="eastAsia"/>
              </w:rPr>
              <w:t>（</w:t>
            </w:r>
            <w:r w:rsidRPr="00830416">
              <w:rPr>
                <w:rFonts w:hint="eastAsia"/>
                <w:u w:val="single"/>
              </w:rPr>
              <w:t xml:space="preserve"> 55 </w:t>
            </w:r>
            <w:r w:rsidRPr="00830416">
              <w:rPr>
                <w:rFonts w:hint="eastAsia"/>
              </w:rPr>
              <w:t>分）</w:t>
            </w:r>
          </w:p>
        </w:tc>
        <w:tc>
          <w:tcPr>
            <w:tcW w:w="175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Cs/>
              </w:rPr>
              <w:t>所投产品技术参数及要求</w:t>
            </w:r>
          </w:p>
        </w:tc>
        <w:tc>
          <w:tcPr>
            <w:tcW w:w="439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rPr>
              <w:t>所投产</w:t>
            </w:r>
            <w:proofErr w:type="gramStart"/>
            <w:r w:rsidRPr="00830416">
              <w:rPr>
                <w:rFonts w:hint="eastAsia"/>
              </w:rPr>
              <w:t>品完全</w:t>
            </w:r>
            <w:proofErr w:type="gramEnd"/>
            <w:r w:rsidRPr="00830416">
              <w:rPr>
                <w:rFonts w:hint="eastAsia"/>
              </w:rPr>
              <w:t>满足或优于招标文件技术参数及要求的得满分</w:t>
            </w:r>
            <w:r w:rsidRPr="00830416">
              <w:rPr>
                <w:rFonts w:hint="eastAsia"/>
              </w:rPr>
              <w:t>30</w:t>
            </w:r>
            <w:r w:rsidRPr="00830416">
              <w:rPr>
                <w:rFonts w:hint="eastAsia"/>
              </w:rPr>
              <w:t>分，每有一项负偏离扣</w:t>
            </w:r>
            <w:r w:rsidRPr="00830416">
              <w:rPr>
                <w:rFonts w:hint="eastAsia"/>
              </w:rPr>
              <w:t>2</w:t>
            </w:r>
            <w:r w:rsidRPr="00830416">
              <w:rPr>
                <w:rFonts w:hint="eastAsia"/>
              </w:rPr>
              <w:t>分，扣完为止。</w:t>
            </w:r>
          </w:p>
          <w:p w:rsidR="00830416" w:rsidRPr="00830416" w:rsidRDefault="00830416" w:rsidP="00830416">
            <w:pPr>
              <w:rPr>
                <w:bCs/>
              </w:rPr>
            </w:pPr>
            <w:r w:rsidRPr="00830416">
              <w:rPr>
                <w:rFonts w:hint="eastAsia"/>
              </w:rPr>
              <w:t>注：以招技术规格响应表为评审依据。</w:t>
            </w:r>
          </w:p>
        </w:tc>
        <w:tc>
          <w:tcPr>
            <w:tcW w:w="1847"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0-30</w:t>
            </w:r>
          </w:p>
        </w:tc>
      </w:tr>
      <w:tr w:rsidR="00830416" w:rsidRPr="00830416" w:rsidTr="00AB53F6">
        <w:tc>
          <w:tcPr>
            <w:tcW w:w="1470" w:type="dxa"/>
            <w:vMerge/>
            <w:tcBorders>
              <w:left w:val="single" w:sz="4" w:space="0" w:color="auto"/>
              <w:right w:val="single" w:sz="4" w:space="0" w:color="auto"/>
            </w:tcBorders>
            <w:vAlign w:val="center"/>
          </w:tcPr>
          <w:p w:rsidR="00830416" w:rsidRPr="00830416" w:rsidRDefault="00830416" w:rsidP="00830416">
            <w:pP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rPr>
              <w:t>教学能力大赛技术服务工具功能演示</w:t>
            </w:r>
          </w:p>
        </w:tc>
        <w:tc>
          <w:tcPr>
            <w:tcW w:w="439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rPr>
            </w:pPr>
            <w:r w:rsidRPr="00830416">
              <w:rPr>
                <w:rFonts w:hint="eastAsia"/>
              </w:rPr>
              <w:t>1</w:t>
            </w:r>
            <w:r w:rsidRPr="00830416">
              <w:rPr>
                <w:rFonts w:hint="eastAsia"/>
              </w:rPr>
              <w:t>）教师轻松通过电脑网页投</w:t>
            </w:r>
            <w:proofErr w:type="gramStart"/>
            <w:r w:rsidRPr="00830416">
              <w:rPr>
                <w:rFonts w:hint="eastAsia"/>
              </w:rPr>
              <w:t>屏进行</w:t>
            </w:r>
            <w:proofErr w:type="gramEnd"/>
            <w:r w:rsidRPr="00830416">
              <w:rPr>
                <w:rFonts w:hint="eastAsia"/>
              </w:rPr>
              <w:t>签到、选人、抢答等教学环节以及课程相关图片、视频资源并能直接在投屏上展示结果数据。</w:t>
            </w:r>
            <w:r w:rsidRPr="00830416">
              <w:rPr>
                <w:rFonts w:hint="eastAsia"/>
                <w:bCs/>
              </w:rPr>
              <w:t>满足此项得</w:t>
            </w:r>
            <w:r w:rsidRPr="00830416">
              <w:rPr>
                <w:rFonts w:hint="eastAsia"/>
                <w:bCs/>
              </w:rPr>
              <w:t>4</w:t>
            </w:r>
            <w:r w:rsidRPr="00830416">
              <w:rPr>
                <w:rFonts w:hint="eastAsia"/>
                <w:bCs/>
              </w:rPr>
              <w:t>分，不满足不得分。</w:t>
            </w:r>
          </w:p>
          <w:p w:rsidR="00830416" w:rsidRPr="00830416" w:rsidRDefault="00830416" w:rsidP="00830416">
            <w:pPr>
              <w:rPr>
                <w:b/>
              </w:rPr>
            </w:pPr>
            <w:r w:rsidRPr="00830416">
              <w:rPr>
                <w:rFonts w:hint="eastAsia"/>
              </w:rPr>
              <w:t>2</w:t>
            </w:r>
            <w:r w:rsidRPr="00830416">
              <w:rPr>
                <w:rFonts w:hint="eastAsia"/>
              </w:rPr>
              <w:t>）支持强大</w:t>
            </w:r>
            <w:r w:rsidRPr="00830416">
              <w:rPr>
                <w:rFonts w:hint="eastAsia"/>
              </w:rPr>
              <w:t>PPT</w:t>
            </w:r>
            <w:r w:rsidRPr="00830416">
              <w:rPr>
                <w:rFonts w:hint="eastAsia"/>
              </w:rPr>
              <w:t>演示功能，</w:t>
            </w:r>
            <w:r w:rsidRPr="00830416">
              <w:rPr>
                <w:rFonts w:hint="eastAsia"/>
              </w:rPr>
              <w:t>PPT</w:t>
            </w:r>
            <w:r w:rsidRPr="00830416">
              <w:rPr>
                <w:rFonts w:hint="eastAsia"/>
              </w:rPr>
              <w:t>能直接通过电脑网页投屏演示</w:t>
            </w:r>
            <w:r w:rsidRPr="00830416">
              <w:rPr>
                <w:rFonts w:hint="eastAsia"/>
              </w:rPr>
              <w:t>PPT</w:t>
            </w:r>
            <w:r w:rsidRPr="00830416">
              <w:rPr>
                <w:rFonts w:hint="eastAsia"/>
              </w:rPr>
              <w:t>文件来源多种渠道，可以通过电脑端把文件直接发送至移动端，提高资源展示的便捷性。</w:t>
            </w:r>
            <w:r w:rsidRPr="00830416">
              <w:rPr>
                <w:rFonts w:hint="eastAsia"/>
                <w:bCs/>
              </w:rPr>
              <w:t>满足此项得</w:t>
            </w:r>
            <w:r w:rsidRPr="00830416">
              <w:rPr>
                <w:rFonts w:hint="eastAsia"/>
                <w:bCs/>
              </w:rPr>
              <w:t>3</w:t>
            </w:r>
            <w:r w:rsidRPr="00830416">
              <w:rPr>
                <w:rFonts w:hint="eastAsia"/>
                <w:bCs/>
              </w:rPr>
              <w:t>分，不满足不得分。</w:t>
            </w:r>
          </w:p>
          <w:p w:rsidR="00830416" w:rsidRPr="00830416" w:rsidRDefault="00830416" w:rsidP="00830416">
            <w:pPr>
              <w:rPr>
                <w:b/>
              </w:rPr>
            </w:pPr>
            <w:r w:rsidRPr="00830416">
              <w:rPr>
                <w:rFonts w:hint="eastAsia"/>
              </w:rPr>
              <w:t>3</w:t>
            </w:r>
            <w:r w:rsidRPr="00830416">
              <w:rPr>
                <w:rFonts w:hint="eastAsia"/>
              </w:rPr>
              <w:t>）教师备课：教师可以在移动端中的活动库中，设置移动教案。按照教学计划，教师可提前在移动端上组织教学内容，有序安排资料推送、签到、问答、抢答、投票等教学活动，方便课堂发放并易于复用。满足此项得</w:t>
            </w:r>
            <w:r w:rsidRPr="00830416">
              <w:rPr>
                <w:rFonts w:hint="eastAsia"/>
              </w:rPr>
              <w:t>4</w:t>
            </w:r>
            <w:r w:rsidRPr="00830416">
              <w:rPr>
                <w:rFonts w:hint="eastAsia"/>
              </w:rPr>
              <w:t>分，不满足不得分。</w:t>
            </w:r>
          </w:p>
          <w:p w:rsidR="00830416" w:rsidRPr="00830416" w:rsidRDefault="00830416" w:rsidP="00830416">
            <w:r w:rsidRPr="00830416">
              <w:rPr>
                <w:rFonts w:hint="eastAsia"/>
              </w:rPr>
              <w:t>4</w:t>
            </w:r>
            <w:r w:rsidRPr="00830416">
              <w:rPr>
                <w:rFonts w:hint="eastAsia"/>
              </w:rPr>
              <w:t>）在同</w:t>
            </w:r>
            <w:proofErr w:type="gramStart"/>
            <w:r w:rsidRPr="00830416">
              <w:rPr>
                <w:rFonts w:hint="eastAsia"/>
              </w:rPr>
              <w:t>一教学</w:t>
            </w:r>
            <w:proofErr w:type="gramEnd"/>
            <w:r w:rsidRPr="00830416">
              <w:rPr>
                <w:rFonts w:hint="eastAsia"/>
              </w:rPr>
              <w:t>服务工具平台为每一个教师和学生用户提供至少</w:t>
            </w:r>
            <w:r w:rsidRPr="00830416">
              <w:rPr>
                <w:rFonts w:hint="eastAsia"/>
              </w:rPr>
              <w:t>150G</w:t>
            </w:r>
            <w:r w:rsidRPr="00830416">
              <w:rPr>
                <w:rFonts w:hint="eastAsia"/>
              </w:rPr>
              <w:t>免费个人云盘存储空间，教师上</w:t>
            </w:r>
            <w:proofErr w:type="gramStart"/>
            <w:r w:rsidRPr="00830416">
              <w:rPr>
                <w:rFonts w:hint="eastAsia"/>
              </w:rPr>
              <w:t>传内容</w:t>
            </w:r>
            <w:proofErr w:type="gramEnd"/>
            <w:r w:rsidRPr="00830416">
              <w:rPr>
                <w:rFonts w:hint="eastAsia"/>
              </w:rPr>
              <w:t>不占用学校存储，并与网络教学平台、移动教学平台直接深度融合对接，可随时下载和一键引用。提供云盘客户端，可以指定文件夹与云端内容自动同步。满足此项得</w:t>
            </w:r>
            <w:r w:rsidRPr="00830416">
              <w:rPr>
                <w:rFonts w:hint="eastAsia"/>
              </w:rPr>
              <w:t>4</w:t>
            </w:r>
            <w:r w:rsidRPr="00830416">
              <w:rPr>
                <w:rFonts w:hint="eastAsia"/>
              </w:rPr>
              <w:t>分，不满足不得分。</w:t>
            </w:r>
          </w:p>
        </w:tc>
        <w:tc>
          <w:tcPr>
            <w:tcW w:w="1847"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0-15</w:t>
            </w:r>
          </w:p>
        </w:tc>
      </w:tr>
      <w:tr w:rsidR="00830416" w:rsidRPr="00830416" w:rsidTr="00AB53F6">
        <w:tc>
          <w:tcPr>
            <w:tcW w:w="1470" w:type="dxa"/>
            <w:vMerge/>
            <w:tcBorders>
              <w:left w:val="single" w:sz="4" w:space="0" w:color="auto"/>
              <w:right w:val="single" w:sz="4" w:space="0" w:color="auto"/>
            </w:tcBorders>
            <w:vAlign w:val="center"/>
          </w:tcPr>
          <w:p w:rsidR="00830416" w:rsidRPr="00830416" w:rsidRDefault="00830416" w:rsidP="00830416">
            <w:pP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bCs/>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rPr>
              <w:t>根据供应商提供的售后服务方案进行综合评分：</w:t>
            </w:r>
          </w:p>
          <w:p w:rsidR="00830416" w:rsidRPr="00830416" w:rsidRDefault="00830416" w:rsidP="00830416">
            <w:r w:rsidRPr="00830416">
              <w:rPr>
                <w:rFonts w:hint="eastAsia"/>
              </w:rPr>
              <w:t>完全满足招标文件要求，人员、设备、售后、时间安排合理，各项管理制度完善，在满足招标技术要求的前提下能提出合理化建议并被接受，得</w:t>
            </w:r>
            <w:r w:rsidRPr="00830416">
              <w:rPr>
                <w:rFonts w:hint="eastAsia"/>
              </w:rPr>
              <w:t>8-10</w:t>
            </w:r>
            <w:r w:rsidRPr="00830416">
              <w:rPr>
                <w:rFonts w:hint="eastAsia"/>
              </w:rPr>
              <w:t>分。</w:t>
            </w:r>
          </w:p>
          <w:p w:rsidR="00830416" w:rsidRPr="00830416" w:rsidRDefault="00830416" w:rsidP="00830416">
            <w:r w:rsidRPr="00830416">
              <w:rPr>
                <w:rFonts w:hint="eastAsia"/>
              </w:rPr>
              <w:t>方案详细，人员、设备、售后、时间安排合理，但管理制度相对欠缺，无合理化建议或建议不能被接受，基本满足招标文件要求，得</w:t>
            </w:r>
            <w:r w:rsidRPr="00830416">
              <w:rPr>
                <w:rFonts w:hint="eastAsia"/>
              </w:rPr>
              <w:t>5-7</w:t>
            </w:r>
            <w:r w:rsidRPr="00830416">
              <w:rPr>
                <w:rFonts w:hint="eastAsia"/>
              </w:rPr>
              <w:t>分；</w:t>
            </w:r>
          </w:p>
          <w:p w:rsidR="00830416" w:rsidRPr="00830416" w:rsidRDefault="00830416" w:rsidP="00830416">
            <w:r w:rsidRPr="00830416">
              <w:rPr>
                <w:rFonts w:hint="eastAsia"/>
              </w:rPr>
              <w:t>方案不够详细，人员、设备、售后、时间安排稍欠缺合理性，管理制度相对欠缺，无合理化建议或建议不能被接受，但基本满足招标要求，得</w:t>
            </w:r>
            <w:r w:rsidRPr="00830416">
              <w:rPr>
                <w:rFonts w:hint="eastAsia"/>
              </w:rPr>
              <w:t>2-4</w:t>
            </w:r>
            <w:r w:rsidRPr="00830416">
              <w:rPr>
                <w:rFonts w:hint="eastAsia"/>
              </w:rPr>
              <w:t>分；</w:t>
            </w:r>
          </w:p>
          <w:p w:rsidR="00830416" w:rsidRPr="00830416" w:rsidRDefault="00830416" w:rsidP="00830416">
            <w:r w:rsidRPr="00830416">
              <w:rPr>
                <w:rFonts w:hint="eastAsia"/>
              </w:rPr>
              <w:t>差或未提供不得分。</w:t>
            </w:r>
          </w:p>
        </w:tc>
        <w:tc>
          <w:tcPr>
            <w:tcW w:w="1847"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0-10</w:t>
            </w:r>
          </w:p>
        </w:tc>
      </w:tr>
      <w:tr w:rsidR="00830416" w:rsidRPr="00830416" w:rsidTr="00AB53F6">
        <w:tc>
          <w:tcPr>
            <w:tcW w:w="1470" w:type="dxa"/>
            <w:vMerge w:val="restart"/>
            <w:tcBorders>
              <w:top w:val="single" w:sz="4" w:space="0" w:color="auto"/>
              <w:left w:val="single" w:sz="4" w:space="0" w:color="auto"/>
              <w:right w:val="single" w:sz="4" w:space="0" w:color="auto"/>
            </w:tcBorders>
            <w:vAlign w:val="center"/>
          </w:tcPr>
          <w:p w:rsidR="00830416" w:rsidRPr="00830416" w:rsidRDefault="00830416" w:rsidP="00830416">
            <w:r w:rsidRPr="00830416">
              <w:rPr>
                <w:rFonts w:hint="eastAsia"/>
              </w:rPr>
              <w:t>资信分</w:t>
            </w:r>
          </w:p>
          <w:p w:rsidR="00830416" w:rsidRPr="00830416" w:rsidRDefault="00830416" w:rsidP="00830416">
            <w:pPr>
              <w:rPr>
                <w:b/>
                <w:bCs/>
              </w:rPr>
            </w:pPr>
            <w:r w:rsidRPr="00830416">
              <w:rPr>
                <w:rFonts w:hint="eastAsia"/>
              </w:rPr>
              <w:lastRenderedPageBreak/>
              <w:t>（</w:t>
            </w:r>
            <w:r w:rsidRPr="00830416">
              <w:rPr>
                <w:rFonts w:hint="eastAsia"/>
                <w:u w:val="single"/>
              </w:rPr>
              <w:t xml:space="preserve"> 30</w:t>
            </w:r>
            <w:r w:rsidRPr="00830416">
              <w:rPr>
                <w:rFonts w:hint="eastAsia"/>
              </w:rPr>
              <w:t>分）</w:t>
            </w:r>
          </w:p>
        </w:tc>
        <w:tc>
          <w:tcPr>
            <w:tcW w:w="1754" w:type="dxa"/>
            <w:tcBorders>
              <w:top w:val="single" w:sz="4" w:space="0" w:color="auto"/>
              <w:left w:val="single" w:sz="4" w:space="0" w:color="auto"/>
              <w:right w:val="single" w:sz="4" w:space="0" w:color="auto"/>
            </w:tcBorders>
            <w:vAlign w:val="center"/>
          </w:tcPr>
          <w:p w:rsidR="00830416" w:rsidRPr="00830416" w:rsidRDefault="00830416" w:rsidP="00830416">
            <w:pPr>
              <w:rPr>
                <w:b/>
                <w:bCs/>
              </w:rPr>
            </w:pPr>
            <w:r w:rsidRPr="00830416">
              <w:rPr>
                <w:rFonts w:hint="eastAsia"/>
              </w:rPr>
              <w:lastRenderedPageBreak/>
              <w:t>供应商资质</w:t>
            </w:r>
          </w:p>
        </w:tc>
        <w:tc>
          <w:tcPr>
            <w:tcW w:w="4394" w:type="dxa"/>
            <w:tcBorders>
              <w:top w:val="single" w:sz="4" w:space="0" w:color="auto"/>
              <w:left w:val="single" w:sz="4" w:space="0" w:color="auto"/>
              <w:right w:val="single" w:sz="4" w:space="0" w:color="auto"/>
            </w:tcBorders>
            <w:vAlign w:val="center"/>
          </w:tcPr>
          <w:p w:rsidR="00830416" w:rsidRPr="00830416" w:rsidRDefault="00830416" w:rsidP="00830416">
            <w:r w:rsidRPr="00830416">
              <w:rPr>
                <w:rFonts w:hint="eastAsia"/>
              </w:rPr>
              <w:t>1.</w:t>
            </w:r>
            <w:r w:rsidRPr="00830416">
              <w:rPr>
                <w:rFonts w:hint="eastAsia"/>
              </w:rPr>
              <w:t>具有电子图书数据库系统软件评测中心测试</w:t>
            </w:r>
            <w:r w:rsidRPr="00830416">
              <w:rPr>
                <w:rFonts w:hint="eastAsia"/>
              </w:rPr>
              <w:lastRenderedPageBreak/>
              <w:t>证书，满足该条件得</w:t>
            </w:r>
            <w:r w:rsidRPr="00830416">
              <w:rPr>
                <w:rFonts w:hint="eastAsia"/>
              </w:rPr>
              <w:t xml:space="preserve"> 2</w:t>
            </w:r>
            <w:r w:rsidRPr="00830416">
              <w:rPr>
                <w:rFonts w:hint="eastAsia"/>
              </w:rPr>
              <w:t>分，否则不得分；</w:t>
            </w:r>
          </w:p>
          <w:p w:rsidR="00830416" w:rsidRPr="00830416" w:rsidRDefault="00830416" w:rsidP="00830416">
            <w:r w:rsidRPr="00830416">
              <w:rPr>
                <w:rFonts w:hint="eastAsia"/>
              </w:rPr>
              <w:t>2.</w:t>
            </w:r>
            <w:r w:rsidRPr="00830416">
              <w:rPr>
                <w:rFonts w:hint="eastAsia"/>
              </w:rPr>
              <w:t>投标人具有备课资源库系统软件证书，满足该条件得</w:t>
            </w:r>
            <w:r w:rsidRPr="00830416">
              <w:rPr>
                <w:rFonts w:hint="eastAsia"/>
              </w:rPr>
              <w:t>2</w:t>
            </w:r>
            <w:r w:rsidRPr="00830416">
              <w:rPr>
                <w:rFonts w:hint="eastAsia"/>
              </w:rPr>
              <w:t>分，否则不得分；</w:t>
            </w:r>
          </w:p>
          <w:p w:rsidR="00830416" w:rsidRPr="00830416" w:rsidRDefault="00830416" w:rsidP="00830416">
            <w:r w:rsidRPr="00830416">
              <w:rPr>
                <w:rFonts w:hint="eastAsia"/>
              </w:rPr>
              <w:t xml:space="preserve">3. </w:t>
            </w:r>
            <w:r w:rsidRPr="00830416">
              <w:rPr>
                <w:rFonts w:hint="eastAsia"/>
              </w:rPr>
              <w:t>具有资源统一检索平台计算机软件著作权登记证书的，满足该条件得</w:t>
            </w:r>
            <w:r w:rsidRPr="00830416">
              <w:rPr>
                <w:rFonts w:hint="eastAsia"/>
              </w:rPr>
              <w:t xml:space="preserve"> 2</w:t>
            </w:r>
            <w:r w:rsidRPr="00830416">
              <w:rPr>
                <w:rFonts w:hint="eastAsia"/>
              </w:rPr>
              <w:t>分，否则不得分；</w:t>
            </w:r>
          </w:p>
          <w:p w:rsidR="00830416" w:rsidRPr="00830416" w:rsidRDefault="00830416" w:rsidP="00830416">
            <w:r w:rsidRPr="00830416">
              <w:rPr>
                <w:rFonts w:hint="eastAsia"/>
              </w:rPr>
              <w:t>4.</w:t>
            </w:r>
            <w:r w:rsidRPr="00830416">
              <w:rPr>
                <w:rFonts w:hint="eastAsia"/>
              </w:rPr>
              <w:t>供应商具有智慧教学网络综合服务平台计算机软件著作权登记证书的，满足该条件得</w:t>
            </w:r>
            <w:r w:rsidRPr="00830416">
              <w:rPr>
                <w:rFonts w:hint="eastAsia"/>
              </w:rPr>
              <w:t>2</w:t>
            </w:r>
            <w:r w:rsidRPr="00830416">
              <w:rPr>
                <w:rFonts w:hint="eastAsia"/>
              </w:rPr>
              <w:t>分；否则不得分；</w:t>
            </w:r>
          </w:p>
          <w:p w:rsidR="00830416" w:rsidRPr="00830416" w:rsidRDefault="00830416" w:rsidP="00830416">
            <w:r w:rsidRPr="00830416">
              <w:rPr>
                <w:rFonts w:hint="eastAsia"/>
              </w:rPr>
              <w:t>5.</w:t>
            </w:r>
            <w:proofErr w:type="gramStart"/>
            <w:r w:rsidRPr="00830416">
              <w:rPr>
                <w:rFonts w:hint="eastAsia"/>
              </w:rPr>
              <w:t>供应商具文献</w:t>
            </w:r>
            <w:proofErr w:type="gramEnd"/>
            <w:r w:rsidRPr="00830416">
              <w:rPr>
                <w:rFonts w:hint="eastAsia"/>
              </w:rPr>
              <w:t>数字化在线服务平台计算机软件著作权登记证书的，满足该条件得</w:t>
            </w:r>
            <w:r w:rsidRPr="00830416">
              <w:rPr>
                <w:rFonts w:hint="eastAsia"/>
              </w:rPr>
              <w:t>2</w:t>
            </w:r>
            <w:r w:rsidRPr="00830416">
              <w:rPr>
                <w:rFonts w:hint="eastAsia"/>
              </w:rPr>
              <w:t>分；否则不得分；</w:t>
            </w:r>
          </w:p>
          <w:p w:rsidR="00830416" w:rsidRPr="00830416" w:rsidRDefault="00830416" w:rsidP="00830416">
            <w:r w:rsidRPr="00830416">
              <w:rPr>
                <w:rFonts w:hint="eastAsia"/>
              </w:rPr>
              <w:t>6</w:t>
            </w:r>
            <w:r w:rsidRPr="00830416">
              <w:rPr>
                <w:rFonts w:hint="eastAsia"/>
              </w:rPr>
              <w:t>、</w:t>
            </w:r>
            <w:proofErr w:type="gramStart"/>
            <w:r w:rsidRPr="00830416">
              <w:rPr>
                <w:rFonts w:hint="eastAsia"/>
              </w:rPr>
              <w:t>供应商具广播</w:t>
            </w:r>
            <w:proofErr w:type="gramEnd"/>
            <w:r w:rsidRPr="00830416">
              <w:rPr>
                <w:rFonts w:hint="eastAsia"/>
              </w:rPr>
              <w:t>电视节目制作经营许可证证书，满足该条件得</w:t>
            </w:r>
            <w:r w:rsidRPr="00830416">
              <w:rPr>
                <w:rFonts w:hint="eastAsia"/>
              </w:rPr>
              <w:t>2</w:t>
            </w:r>
            <w:r w:rsidRPr="00830416">
              <w:rPr>
                <w:rFonts w:hint="eastAsia"/>
              </w:rPr>
              <w:t>分；否则不得分；</w:t>
            </w:r>
          </w:p>
          <w:p w:rsidR="00830416" w:rsidRPr="00830416" w:rsidRDefault="00830416" w:rsidP="00830416">
            <w:r w:rsidRPr="00830416">
              <w:rPr>
                <w:rFonts w:hint="eastAsia"/>
              </w:rPr>
              <w:t>7</w:t>
            </w:r>
            <w:r w:rsidRPr="00830416">
              <w:rPr>
                <w:rFonts w:hint="eastAsia"/>
              </w:rPr>
              <w:t>、供应商具有软件企业认定证书，满足该条件得</w:t>
            </w:r>
            <w:r w:rsidRPr="00830416">
              <w:rPr>
                <w:rFonts w:hint="eastAsia"/>
              </w:rPr>
              <w:t>2</w:t>
            </w:r>
            <w:r w:rsidRPr="00830416">
              <w:rPr>
                <w:rFonts w:hint="eastAsia"/>
              </w:rPr>
              <w:t>分；否则不得分；</w:t>
            </w:r>
          </w:p>
          <w:p w:rsidR="00830416" w:rsidRPr="00830416" w:rsidRDefault="00830416" w:rsidP="00830416">
            <w:r w:rsidRPr="00830416">
              <w:rPr>
                <w:rFonts w:hint="eastAsia"/>
              </w:rPr>
              <w:t>8</w:t>
            </w:r>
            <w:r w:rsidRPr="00830416">
              <w:rPr>
                <w:rFonts w:hint="eastAsia"/>
              </w:rPr>
              <w:t>、供应商具有出版物经营许可证证书，满足该条件得</w:t>
            </w:r>
            <w:r w:rsidRPr="00830416">
              <w:rPr>
                <w:rFonts w:hint="eastAsia"/>
              </w:rPr>
              <w:t>1</w:t>
            </w:r>
            <w:r w:rsidRPr="00830416">
              <w:rPr>
                <w:rFonts w:hint="eastAsia"/>
              </w:rPr>
              <w:t>分；否则不得分；</w:t>
            </w:r>
          </w:p>
          <w:p w:rsidR="00830416" w:rsidRPr="00830416" w:rsidRDefault="00830416" w:rsidP="00830416">
            <w:r w:rsidRPr="00830416">
              <w:rPr>
                <w:rFonts w:hint="eastAsia"/>
                <w:b/>
                <w:bCs/>
              </w:rPr>
              <w:t>注：响应文件中需提供以上证书扫描件或影印件</w:t>
            </w:r>
          </w:p>
        </w:tc>
        <w:tc>
          <w:tcPr>
            <w:tcW w:w="1847" w:type="dxa"/>
            <w:tcBorders>
              <w:top w:val="single" w:sz="4" w:space="0" w:color="auto"/>
              <w:left w:val="single" w:sz="4" w:space="0" w:color="auto"/>
              <w:right w:val="single" w:sz="4" w:space="0" w:color="auto"/>
            </w:tcBorders>
            <w:vAlign w:val="center"/>
          </w:tcPr>
          <w:p w:rsidR="00830416" w:rsidRPr="00830416" w:rsidRDefault="00830416" w:rsidP="00830416">
            <w:pPr>
              <w:rPr>
                <w:b/>
                <w:bCs/>
              </w:rPr>
            </w:pPr>
            <w:r w:rsidRPr="00830416">
              <w:rPr>
                <w:rFonts w:hint="eastAsia"/>
                <w:b/>
                <w:bCs/>
              </w:rPr>
              <w:lastRenderedPageBreak/>
              <w:t>0-15</w:t>
            </w:r>
          </w:p>
        </w:tc>
      </w:tr>
      <w:tr w:rsidR="00830416" w:rsidRPr="00830416" w:rsidTr="00AB53F6">
        <w:tc>
          <w:tcPr>
            <w:tcW w:w="1470" w:type="dxa"/>
            <w:vMerge/>
            <w:tcBorders>
              <w:left w:val="single" w:sz="4" w:space="0" w:color="auto"/>
              <w:right w:val="single" w:sz="4" w:space="0" w:color="auto"/>
            </w:tcBorders>
            <w:vAlign w:val="center"/>
          </w:tcPr>
          <w:p w:rsidR="00830416" w:rsidRPr="00830416" w:rsidRDefault="00830416" w:rsidP="00830416">
            <w:pPr>
              <w:rPr>
                <w:b/>
                <w:bCs/>
              </w:rPr>
            </w:pPr>
          </w:p>
        </w:tc>
        <w:tc>
          <w:tcPr>
            <w:tcW w:w="175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bCs/>
              </w:rPr>
              <w:t>供应商业绩</w:t>
            </w:r>
          </w:p>
        </w:tc>
        <w:tc>
          <w:tcPr>
            <w:tcW w:w="4394"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rPr>
              <w:t>2018</w:t>
            </w:r>
            <w:r w:rsidRPr="00830416">
              <w:rPr>
                <w:rFonts w:hint="eastAsia"/>
              </w:rPr>
              <w:t>年</w:t>
            </w:r>
            <w:r w:rsidRPr="00830416">
              <w:rPr>
                <w:rFonts w:hint="eastAsia"/>
              </w:rPr>
              <w:t>1</w:t>
            </w:r>
            <w:r w:rsidRPr="00830416">
              <w:rPr>
                <w:rFonts w:hint="eastAsia"/>
              </w:rPr>
              <w:t>月</w:t>
            </w:r>
            <w:r w:rsidRPr="00830416">
              <w:rPr>
                <w:rFonts w:hint="eastAsia"/>
              </w:rPr>
              <w:t>1</w:t>
            </w:r>
            <w:r w:rsidRPr="00830416">
              <w:rPr>
                <w:rFonts w:hint="eastAsia"/>
              </w:rPr>
              <w:t>日以来（以合同签订时间为准）具有全国教师教学能力大赛参赛作品制作与服务业绩，且参赛教师获国赛一等奖、二等奖、三等奖项的：</w:t>
            </w:r>
          </w:p>
          <w:p w:rsidR="00830416" w:rsidRPr="00830416" w:rsidRDefault="00830416" w:rsidP="00830416">
            <w:r w:rsidRPr="00830416">
              <w:rPr>
                <w:rFonts w:hint="eastAsia"/>
              </w:rPr>
              <w:t>①获国赛一等奖，提供</w:t>
            </w:r>
            <w:r w:rsidRPr="00830416">
              <w:rPr>
                <w:rFonts w:hint="eastAsia"/>
              </w:rPr>
              <w:t>1</w:t>
            </w:r>
            <w:r w:rsidRPr="00830416">
              <w:rPr>
                <w:rFonts w:hint="eastAsia"/>
              </w:rPr>
              <w:t>个作品得</w:t>
            </w:r>
            <w:r w:rsidRPr="00830416">
              <w:rPr>
                <w:rFonts w:hint="eastAsia"/>
              </w:rPr>
              <w:t>5</w:t>
            </w:r>
            <w:r w:rsidRPr="00830416">
              <w:rPr>
                <w:rFonts w:hint="eastAsia"/>
              </w:rPr>
              <w:t>分；</w:t>
            </w:r>
          </w:p>
          <w:p w:rsidR="00830416" w:rsidRPr="00830416" w:rsidRDefault="00830416" w:rsidP="00830416">
            <w:r w:rsidRPr="00830416">
              <w:rPr>
                <w:rFonts w:hint="eastAsia"/>
              </w:rPr>
              <w:t>②获国赛二等奖，提供</w:t>
            </w:r>
            <w:r w:rsidRPr="00830416">
              <w:rPr>
                <w:rFonts w:hint="eastAsia"/>
              </w:rPr>
              <w:t>1</w:t>
            </w:r>
            <w:r w:rsidRPr="00830416">
              <w:rPr>
                <w:rFonts w:hint="eastAsia"/>
              </w:rPr>
              <w:t>个作品得</w:t>
            </w:r>
            <w:r w:rsidRPr="00830416">
              <w:rPr>
                <w:rFonts w:hint="eastAsia"/>
              </w:rPr>
              <w:t>3</w:t>
            </w:r>
            <w:r w:rsidRPr="00830416">
              <w:rPr>
                <w:rFonts w:hint="eastAsia"/>
              </w:rPr>
              <w:t>分；</w:t>
            </w:r>
          </w:p>
          <w:p w:rsidR="00830416" w:rsidRPr="00830416" w:rsidRDefault="00830416" w:rsidP="00830416">
            <w:r w:rsidRPr="00830416">
              <w:rPr>
                <w:rFonts w:hint="eastAsia"/>
              </w:rPr>
              <w:t>③获国赛三等奖或省赛一等奖，提供</w:t>
            </w:r>
            <w:r w:rsidRPr="00830416">
              <w:rPr>
                <w:rFonts w:hint="eastAsia"/>
              </w:rPr>
              <w:t>1</w:t>
            </w:r>
            <w:r w:rsidRPr="00830416">
              <w:rPr>
                <w:rFonts w:hint="eastAsia"/>
              </w:rPr>
              <w:t>个作品得</w:t>
            </w:r>
            <w:r w:rsidRPr="00830416">
              <w:rPr>
                <w:rFonts w:hint="eastAsia"/>
              </w:rPr>
              <w:t>2</w:t>
            </w:r>
            <w:r w:rsidRPr="00830416">
              <w:rPr>
                <w:rFonts w:hint="eastAsia"/>
              </w:rPr>
              <w:t>分；</w:t>
            </w:r>
          </w:p>
          <w:p w:rsidR="00830416" w:rsidRPr="00830416" w:rsidRDefault="00830416" w:rsidP="00830416">
            <w:r w:rsidRPr="00830416">
              <w:rPr>
                <w:rFonts w:hint="eastAsia"/>
              </w:rPr>
              <w:t>以上满分</w:t>
            </w:r>
            <w:r w:rsidRPr="00830416">
              <w:rPr>
                <w:rFonts w:hint="eastAsia"/>
              </w:rPr>
              <w:t>15</w:t>
            </w:r>
            <w:r w:rsidRPr="00830416">
              <w:rPr>
                <w:rFonts w:hint="eastAsia"/>
              </w:rPr>
              <w:t>分。</w:t>
            </w:r>
          </w:p>
          <w:p w:rsidR="00830416" w:rsidRPr="00830416" w:rsidRDefault="00830416" w:rsidP="00830416">
            <w:r w:rsidRPr="00830416">
              <w:rPr>
                <w:rFonts w:hint="eastAsia"/>
                <w:b/>
                <w:bCs/>
              </w:rPr>
              <w:t>需提供获奖作品制作的合同复印件和对应的教师获奖证书</w:t>
            </w:r>
            <w:proofErr w:type="gramStart"/>
            <w:r w:rsidRPr="00830416">
              <w:rPr>
                <w:rFonts w:hint="eastAsia"/>
                <w:b/>
                <w:bCs/>
              </w:rPr>
              <w:t>或官网公示</w:t>
            </w:r>
            <w:proofErr w:type="gramEnd"/>
            <w:r w:rsidRPr="00830416">
              <w:rPr>
                <w:rFonts w:hint="eastAsia"/>
                <w:b/>
                <w:bCs/>
              </w:rPr>
              <w:t>截</w:t>
            </w:r>
            <w:proofErr w:type="gramStart"/>
            <w:r w:rsidRPr="00830416">
              <w:rPr>
                <w:rFonts w:hint="eastAsia"/>
                <w:b/>
                <w:bCs/>
              </w:rPr>
              <w:t>图证明</w:t>
            </w:r>
            <w:proofErr w:type="gramEnd"/>
            <w:r w:rsidRPr="00830416">
              <w:rPr>
                <w:rFonts w:hint="eastAsia"/>
                <w:b/>
                <w:bCs/>
              </w:rPr>
              <w:t>材料（备注：合同中</w:t>
            </w:r>
            <w:proofErr w:type="gramStart"/>
            <w:r w:rsidRPr="00830416">
              <w:rPr>
                <w:rFonts w:hint="eastAsia"/>
                <w:b/>
                <w:bCs/>
              </w:rPr>
              <w:t>需体现</w:t>
            </w:r>
            <w:proofErr w:type="gramEnd"/>
            <w:r w:rsidRPr="00830416">
              <w:rPr>
                <w:rFonts w:hint="eastAsia"/>
                <w:b/>
                <w:bCs/>
              </w:rPr>
              <w:t>获奖作品名称或由业主提供证明并加盖公章）</w:t>
            </w:r>
          </w:p>
        </w:tc>
        <w:tc>
          <w:tcPr>
            <w:tcW w:w="1847" w:type="dxa"/>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pPr>
              <w:rPr>
                <w:b/>
                <w:bCs/>
              </w:rPr>
            </w:pPr>
            <w:r w:rsidRPr="00830416">
              <w:rPr>
                <w:rFonts w:hint="eastAsia"/>
                <w:b/>
                <w:bCs/>
              </w:rPr>
              <w:t>0-15</w:t>
            </w:r>
          </w:p>
        </w:tc>
      </w:tr>
      <w:tr w:rsidR="00830416" w:rsidRPr="00830416" w:rsidTr="00AB53F6">
        <w:tc>
          <w:tcPr>
            <w:tcW w:w="1470" w:type="dxa"/>
            <w:tcBorders>
              <w:left w:val="single" w:sz="4" w:space="0" w:color="auto"/>
              <w:right w:val="single" w:sz="4" w:space="0" w:color="auto"/>
            </w:tcBorders>
            <w:vAlign w:val="center"/>
          </w:tcPr>
          <w:p w:rsidR="00830416" w:rsidRPr="00830416" w:rsidRDefault="00830416" w:rsidP="00830416">
            <w:r w:rsidRPr="00830416">
              <w:rPr>
                <w:rFonts w:hint="eastAsia"/>
              </w:rPr>
              <w:t>价格分</w:t>
            </w:r>
          </w:p>
          <w:p w:rsidR="00830416" w:rsidRPr="00830416" w:rsidRDefault="00830416" w:rsidP="00830416">
            <w:pPr>
              <w:rPr>
                <w:b/>
                <w:bCs/>
              </w:rPr>
            </w:pPr>
            <w:r w:rsidRPr="00830416">
              <w:rPr>
                <w:rFonts w:hint="eastAsia"/>
              </w:rPr>
              <w:t>（</w:t>
            </w:r>
            <w:r w:rsidRPr="00830416">
              <w:rPr>
                <w:rFonts w:hint="eastAsia"/>
                <w:u w:val="single"/>
              </w:rPr>
              <w:t xml:space="preserve"> 15</w:t>
            </w:r>
            <w:r w:rsidRPr="00830416">
              <w:rPr>
                <w:rFonts w:hint="eastAsia"/>
              </w:rPr>
              <w:t>分）</w:t>
            </w:r>
          </w:p>
        </w:tc>
        <w:tc>
          <w:tcPr>
            <w:tcW w:w="7995" w:type="dxa"/>
            <w:gridSpan w:val="3"/>
            <w:tcBorders>
              <w:top w:val="single" w:sz="4" w:space="0" w:color="auto"/>
              <w:left w:val="single" w:sz="4" w:space="0" w:color="auto"/>
              <w:bottom w:val="single" w:sz="4" w:space="0" w:color="auto"/>
              <w:right w:val="single" w:sz="4" w:space="0" w:color="auto"/>
            </w:tcBorders>
            <w:vAlign w:val="center"/>
          </w:tcPr>
          <w:p w:rsidR="00830416" w:rsidRPr="00830416" w:rsidRDefault="00830416" w:rsidP="00830416">
            <w:r w:rsidRPr="00830416">
              <w:rPr>
                <w:rFonts w:hint="eastAsia"/>
              </w:rPr>
              <w:t>价格</w:t>
            </w:r>
            <w:proofErr w:type="gramStart"/>
            <w:r w:rsidRPr="00830416">
              <w:rPr>
                <w:rFonts w:hint="eastAsia"/>
              </w:rPr>
              <w:t>分统一</w:t>
            </w:r>
            <w:proofErr w:type="gramEnd"/>
            <w:r w:rsidRPr="00830416">
              <w:rPr>
                <w:rFonts w:hint="eastAsia"/>
              </w:rPr>
              <w:t>采用低价优先法，即满足招标文件要求且投标价格最低的投标报价为评标基准价，其价格分为满分</w:t>
            </w:r>
            <w:r w:rsidRPr="00830416">
              <w:rPr>
                <w:rFonts w:hint="eastAsia"/>
                <w:u w:val="single"/>
              </w:rPr>
              <w:t xml:space="preserve"> 15 </w:t>
            </w:r>
            <w:r w:rsidRPr="00830416">
              <w:rPr>
                <w:rFonts w:hint="eastAsia"/>
              </w:rPr>
              <w:t>分。其他投标供应商的价格</w:t>
            </w:r>
            <w:proofErr w:type="gramStart"/>
            <w:r w:rsidRPr="00830416">
              <w:rPr>
                <w:rFonts w:hint="eastAsia"/>
              </w:rPr>
              <w:t>分统一</w:t>
            </w:r>
            <w:proofErr w:type="gramEnd"/>
            <w:r w:rsidRPr="00830416">
              <w:rPr>
                <w:rFonts w:hint="eastAsia"/>
              </w:rPr>
              <w:t>按照下列公式计算：</w:t>
            </w:r>
          </w:p>
          <w:p w:rsidR="00830416" w:rsidRPr="00830416" w:rsidRDefault="00830416" w:rsidP="00830416">
            <w:pPr>
              <w:rPr>
                <w:b/>
                <w:bCs/>
              </w:rPr>
            </w:pPr>
            <w:r w:rsidRPr="00830416">
              <w:rPr>
                <w:rFonts w:hint="eastAsia"/>
              </w:rPr>
              <w:t>投标报价得分＝（评标基准价</w:t>
            </w:r>
            <w:r w:rsidRPr="00830416">
              <w:rPr>
                <w:rFonts w:hint="eastAsia"/>
              </w:rPr>
              <w:t>/</w:t>
            </w:r>
            <w:r w:rsidRPr="00830416">
              <w:rPr>
                <w:rFonts w:hint="eastAsia"/>
              </w:rPr>
              <w:t>投标报价）×</w:t>
            </w:r>
            <w:r w:rsidRPr="00830416">
              <w:rPr>
                <w:rFonts w:hint="eastAsia"/>
                <w:u w:val="single"/>
              </w:rPr>
              <w:t xml:space="preserve">15 </w:t>
            </w:r>
            <w:r w:rsidRPr="00830416">
              <w:rPr>
                <w:rFonts w:hint="eastAsia"/>
              </w:rPr>
              <w:t>％×</w:t>
            </w:r>
            <w:r w:rsidRPr="00830416">
              <w:rPr>
                <w:rFonts w:hint="eastAsia"/>
              </w:rPr>
              <w:t>100</w:t>
            </w:r>
          </w:p>
        </w:tc>
      </w:tr>
    </w:tbl>
    <w:p w:rsidR="00830416" w:rsidRPr="00830416" w:rsidRDefault="00830416"/>
    <w:sectPr w:rsidR="00830416" w:rsidRPr="00830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B5" w:rsidRDefault="00020EB5" w:rsidP="00B8352A">
      <w:r>
        <w:separator/>
      </w:r>
    </w:p>
  </w:endnote>
  <w:endnote w:type="continuationSeparator" w:id="0">
    <w:p w:rsidR="00020EB5" w:rsidRDefault="00020EB5" w:rsidP="00B8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B5" w:rsidRDefault="00020EB5" w:rsidP="00B8352A">
      <w:r>
        <w:separator/>
      </w:r>
    </w:p>
  </w:footnote>
  <w:footnote w:type="continuationSeparator" w:id="0">
    <w:p w:rsidR="00020EB5" w:rsidRDefault="00020EB5" w:rsidP="00B8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E63C2"/>
    <w:multiLevelType w:val="singleLevel"/>
    <w:tmpl w:val="FA0E63C2"/>
    <w:lvl w:ilvl="0">
      <w:start w:val="1"/>
      <w:numFmt w:val="decimal"/>
      <w:suff w:val="nothing"/>
      <w:lvlText w:val="%1、"/>
      <w:lvlJc w:val="left"/>
    </w:lvl>
  </w:abstractNum>
  <w:abstractNum w:abstractNumId="1">
    <w:nsid w:val="0B531D1B"/>
    <w:multiLevelType w:val="singleLevel"/>
    <w:tmpl w:val="0B531D1B"/>
    <w:lvl w:ilvl="0">
      <w:start w:val="1"/>
      <w:numFmt w:val="decimal"/>
      <w:suff w:val="nothing"/>
      <w:lvlText w:val="%1、"/>
      <w:lvlJc w:val="left"/>
    </w:lvl>
  </w:abstractNum>
  <w:abstractNum w:abstractNumId="2">
    <w:nsid w:val="6BA1D20A"/>
    <w:multiLevelType w:val="singleLevel"/>
    <w:tmpl w:val="6BA1D20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CE"/>
    <w:rsid w:val="00020EB5"/>
    <w:rsid w:val="001A76CB"/>
    <w:rsid w:val="004805B3"/>
    <w:rsid w:val="0061242F"/>
    <w:rsid w:val="00675379"/>
    <w:rsid w:val="00830416"/>
    <w:rsid w:val="008C3F13"/>
    <w:rsid w:val="00972942"/>
    <w:rsid w:val="00A17A28"/>
    <w:rsid w:val="00B8352A"/>
    <w:rsid w:val="00E221E0"/>
    <w:rsid w:val="00F477CE"/>
    <w:rsid w:val="00FB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52A"/>
    <w:rPr>
      <w:sz w:val="18"/>
      <w:szCs w:val="18"/>
    </w:rPr>
  </w:style>
  <w:style w:type="paragraph" w:styleId="a4">
    <w:name w:val="footer"/>
    <w:basedOn w:val="a"/>
    <w:link w:val="Char0"/>
    <w:uiPriority w:val="99"/>
    <w:unhideWhenUsed/>
    <w:rsid w:val="00B8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35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52A"/>
    <w:rPr>
      <w:sz w:val="18"/>
      <w:szCs w:val="18"/>
    </w:rPr>
  </w:style>
  <w:style w:type="paragraph" w:styleId="a4">
    <w:name w:val="footer"/>
    <w:basedOn w:val="a"/>
    <w:link w:val="Char0"/>
    <w:uiPriority w:val="99"/>
    <w:unhideWhenUsed/>
    <w:rsid w:val="00B8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3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998</Words>
  <Characters>5695</Characters>
  <Application>Microsoft Office Word</Application>
  <DocSecurity>0</DocSecurity>
  <Lines>47</Lines>
  <Paragraphs>13</Paragraphs>
  <ScaleCrop>false</ScaleCrop>
  <Company>Microsoft</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2020-06-04T07:51:00Z</dcterms:created>
  <dcterms:modified xsi:type="dcterms:W3CDTF">2020-07-27T02:22:00Z</dcterms:modified>
</cp:coreProperties>
</file>