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7EA7">
      <w:pPr>
        <w:spacing w:line="520" w:lineRule="exact"/>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关于举办2025年</w:t>
      </w:r>
      <w:r>
        <w:rPr>
          <w:rFonts w:hint="eastAsia" w:ascii="Times New Roman" w:hAnsi="Times New Roman" w:eastAsia="宋体" w:cs="Times New Roman"/>
          <w:b/>
          <w:bCs/>
          <w:sz w:val="36"/>
          <w:szCs w:val="36"/>
          <w:lang w:val="en-US" w:eastAsia="zh-CN"/>
        </w:rPr>
        <w:t>度</w:t>
      </w:r>
      <w:r>
        <w:rPr>
          <w:rFonts w:hint="eastAsia" w:ascii="Times New Roman" w:hAnsi="Times New Roman" w:eastAsia="宋体" w:cs="Times New Roman"/>
          <w:b/>
          <w:bCs/>
          <w:sz w:val="36"/>
          <w:szCs w:val="36"/>
        </w:rPr>
        <w:t>安徽电子信息职业技术学院信息技术应用创新大赛的通知</w:t>
      </w:r>
    </w:p>
    <w:p w14:paraId="51838994">
      <w:pPr>
        <w:spacing w:line="360" w:lineRule="exact"/>
        <w:rPr>
          <w:rFonts w:ascii="Times New Roman" w:hAnsi="Times New Roman" w:eastAsia="宋体" w:cs="Times New Roman"/>
          <w:b/>
          <w:bCs/>
          <w:sz w:val="28"/>
          <w:szCs w:val="28"/>
        </w:rPr>
      </w:pPr>
    </w:p>
    <w:p w14:paraId="1EF02CD5">
      <w:pPr>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各位同学：</w:t>
      </w:r>
    </w:p>
    <w:p w14:paraId="7EF4B6F3">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培养学生在国产化信息技术应用领域的综合能力，加强学生对信创知识的理解、掌握和应用，激发大学生的创新意识，促进大学生实践能力、创新能力和协作精神培养，提高学生职业综合素养，达到“以赛促学、以赛促教”的目的，学院决定举办2025年度信息技术应用创新大赛。现将比赛相关事项通知如下：</w:t>
      </w:r>
    </w:p>
    <w:p w14:paraId="0D1B84BD">
      <w:pPr>
        <w:spacing w:line="52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一、竞赛组织</w:t>
      </w:r>
    </w:p>
    <w:p w14:paraId="253CB5CA">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承办单位：信息工程学院</w:t>
      </w:r>
    </w:p>
    <w:p w14:paraId="2516BDC2">
      <w:pPr>
        <w:spacing w:line="52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二、报名时间及方式</w:t>
      </w:r>
    </w:p>
    <w:p w14:paraId="747A77DE">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1．报名时间：2025年4月1</w:t>
      </w:r>
      <w:r>
        <w:rPr>
          <w:rFonts w:hint="eastAsia" w:ascii="Times New Roman" w:hAnsi="Times New Roman" w:eastAsia="宋体" w:cs="Times New Roman"/>
          <w:sz w:val="28"/>
          <w:szCs w:val="28"/>
        </w:rPr>
        <w:t>7</w:t>
      </w:r>
      <w:r>
        <w:rPr>
          <w:rFonts w:ascii="Times New Roman" w:hAnsi="Times New Roman" w:eastAsia="宋体" w:cs="Times New Roman"/>
          <w:sz w:val="28"/>
          <w:szCs w:val="28"/>
        </w:rPr>
        <w:t>日至2025年4月30日</w:t>
      </w:r>
    </w:p>
    <w:p w14:paraId="195568ED">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2．报名方式</w:t>
      </w:r>
    </w:p>
    <w:p w14:paraId="7CA70783">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（1）报名条件</w:t>
      </w:r>
    </w:p>
    <w:p w14:paraId="2ED82E5E">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参赛对象为学院在籍在校学生。</w:t>
      </w:r>
    </w:p>
    <w:p w14:paraId="367796B4">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（2）报名方式</w:t>
      </w:r>
    </w:p>
    <w:p w14:paraId="24DD46F7">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竞赛以团队形式参赛，每队2人，设队长1人。请各参赛队将报名表于2025年4月30日前发送至邮箱：1447610574@qq.com</w:t>
      </w:r>
      <w:r>
        <w:rPr>
          <w:rStyle w:val="18"/>
          <w:rFonts w:ascii="Times New Roman" w:hAnsi="Times New Roman" w:eastAsia="宋体" w:cs="Times New Roman"/>
          <w:sz w:val="28"/>
          <w:szCs w:val="28"/>
          <w:u w:val="none"/>
        </w:rPr>
        <w:t>。</w:t>
      </w:r>
    </w:p>
    <w:p w14:paraId="57F847D2">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联系人：孟老师（17756830872）</w:t>
      </w:r>
    </w:p>
    <w:p w14:paraId="2A12CAA7">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3．竞赛方式</w:t>
      </w:r>
    </w:p>
    <w:p w14:paraId="3C1A194B">
      <w:pPr>
        <w:spacing w:line="520" w:lineRule="exact"/>
        <w:ind w:firstLine="560" w:firstLineChars="200"/>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本赛项设选拔赛和决赛两个环节，具体内容详见竞赛规程</w:t>
      </w:r>
      <w:r>
        <w:rPr>
          <w:rFonts w:hint="eastAsia" w:ascii="Times New Roman" w:hAnsi="Times New Roman" w:eastAsia="宋体" w:cs="Times New Roman"/>
          <w:b w:val="0"/>
          <w:bCs w:val="0"/>
          <w:sz w:val="28"/>
          <w:szCs w:val="28"/>
          <w:lang w:eastAsia="zh-CN"/>
        </w:rPr>
        <w:t>（</w:t>
      </w:r>
      <w:r>
        <w:rPr>
          <w:rFonts w:ascii="Times New Roman" w:hAnsi="Times New Roman" w:eastAsia="宋体" w:cs="Times New Roman"/>
          <w:b w:val="0"/>
          <w:bCs w:val="0"/>
          <w:sz w:val="28"/>
          <w:szCs w:val="28"/>
        </w:rPr>
        <w:t>附件1</w:t>
      </w:r>
      <w:r>
        <w:rPr>
          <w:rFonts w:hint="eastAsia" w:ascii="Times New Roman" w:hAnsi="Times New Roman" w:eastAsia="宋体" w:cs="Times New Roman"/>
          <w:b w:val="0"/>
          <w:bCs w:val="0"/>
          <w:sz w:val="28"/>
          <w:szCs w:val="28"/>
          <w:lang w:eastAsia="zh-CN"/>
        </w:rPr>
        <w:t>）</w:t>
      </w:r>
      <w:r>
        <w:rPr>
          <w:rFonts w:ascii="Times New Roman" w:hAnsi="Times New Roman" w:eastAsia="宋体" w:cs="Times New Roman"/>
          <w:b w:val="0"/>
          <w:bCs w:val="0"/>
          <w:sz w:val="28"/>
          <w:szCs w:val="28"/>
        </w:rPr>
        <w:t>。</w:t>
      </w:r>
    </w:p>
    <w:p w14:paraId="6AE8382D">
      <w:pPr>
        <w:spacing w:line="52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三、奖项设定</w:t>
      </w:r>
    </w:p>
    <w:p w14:paraId="69BFFDF9">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本次竞赛设一等奖、二等奖、三等奖若干名，由学院颁发获奖证书和奖励。奖项设定按《安徽电子信息职业技术学院职业技能竞赛管理办法》（院办〔2022〕39号）执行。</w:t>
      </w:r>
    </w:p>
    <w:p w14:paraId="057F1B64">
      <w:pPr>
        <w:spacing w:line="52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四、其他事宜</w:t>
      </w:r>
    </w:p>
    <w:p w14:paraId="784A8E50">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请参赛同学加入赛事工作QQ群：1046501536。竞赛具体</w:t>
      </w:r>
      <w:r>
        <w:rPr>
          <w:rFonts w:ascii="Times New Roman" w:hAnsi="Times New Roman" w:eastAsia="宋体" w:cs="Times New Roman"/>
          <w:b w:val="0"/>
          <w:bCs w:val="0"/>
          <w:sz w:val="28"/>
          <w:szCs w:val="28"/>
        </w:rPr>
        <w:t>要求请参看竞赛规程，</w:t>
      </w:r>
      <w:r>
        <w:rPr>
          <w:rFonts w:ascii="Times New Roman" w:hAnsi="Times New Roman" w:eastAsia="宋体" w:cs="Times New Roman"/>
          <w:sz w:val="28"/>
          <w:szCs w:val="28"/>
        </w:rPr>
        <w:t>其它未尽事宜另行通知。</w:t>
      </w:r>
    </w:p>
    <w:p w14:paraId="775DF69A">
      <w:pPr>
        <w:spacing w:line="520" w:lineRule="exact"/>
        <w:ind w:firstLine="560" w:firstLineChars="200"/>
        <w:rPr>
          <w:rFonts w:ascii="Times New Roman" w:hAnsi="Times New Roman" w:eastAsia="宋体" w:cs="Times New Roman"/>
          <w:sz w:val="28"/>
          <w:szCs w:val="28"/>
        </w:rPr>
      </w:pPr>
    </w:p>
    <w:p w14:paraId="5B287C7F">
      <w:pPr>
        <w:spacing w:line="520" w:lineRule="exact"/>
        <w:ind w:left="1404" w:leftChars="0" w:hanging="844" w:firstLineChars="0"/>
        <w:rPr>
          <w:rFonts w:ascii="Times New Roman" w:hAnsi="Times New Roman" w:eastAsia="宋体" w:cs="Times New Roman"/>
          <w:sz w:val="28"/>
          <w:szCs w:val="28"/>
        </w:rPr>
      </w:pPr>
      <w:r>
        <w:rPr>
          <w:rFonts w:ascii="Times New Roman" w:hAnsi="Times New Roman" w:eastAsia="宋体" w:cs="Times New Roman"/>
          <w:sz w:val="28"/>
          <w:szCs w:val="28"/>
        </w:rPr>
        <w:t>附件：</w:t>
      </w:r>
      <w:bookmarkStart w:id="1" w:name="_GoBack"/>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t>安徽电子信息职业技术学院2025年信息技术应用创新大赛竞赛规程</w:t>
      </w:r>
    </w:p>
    <w:p w14:paraId="048F7C35">
      <w:pPr>
        <w:spacing w:line="520" w:lineRule="exact"/>
        <w:ind w:left="1404" w:leftChars="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t>安徽电子信息职业技术学院2025年信息技术应用创新大赛</w:t>
      </w:r>
      <w:r>
        <w:rPr>
          <w:rFonts w:ascii="Times New Roman" w:hAnsi="Times New Roman" w:eastAsia="宋体" w:cs="Times New Roman"/>
          <w:sz w:val="28"/>
          <w:szCs w:val="28"/>
        </w:rPr>
        <w:t>参赛报名表</w:t>
      </w:r>
    </w:p>
    <w:bookmarkEnd w:id="1"/>
    <w:p w14:paraId="2FB1B7D1">
      <w:pPr>
        <w:spacing w:line="520" w:lineRule="exact"/>
        <w:ind w:firstLine="560" w:firstLineChars="200"/>
        <w:rPr>
          <w:rFonts w:ascii="Times New Roman" w:hAnsi="Times New Roman" w:eastAsia="宋体" w:cs="Times New Roman"/>
          <w:sz w:val="28"/>
          <w:szCs w:val="28"/>
        </w:rPr>
      </w:pPr>
    </w:p>
    <w:p w14:paraId="73888485">
      <w:pPr>
        <w:spacing w:line="520" w:lineRule="exact"/>
        <w:ind w:right="1120"/>
        <w:rPr>
          <w:rFonts w:ascii="Times New Roman" w:hAnsi="Times New Roman" w:eastAsia="宋体" w:cs="Times New Roman"/>
          <w:sz w:val="28"/>
          <w:szCs w:val="28"/>
        </w:rPr>
      </w:pPr>
    </w:p>
    <w:p w14:paraId="0CF169A0">
      <w:pPr>
        <w:spacing w:line="520" w:lineRule="exact"/>
        <w:ind w:right="560"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信息工程学院 </w:t>
      </w:r>
    </w:p>
    <w:p w14:paraId="1CE8657C">
      <w:pPr>
        <w:wordWrap w:val="0"/>
        <w:spacing w:line="520" w:lineRule="exact"/>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2025年4月17日  </w:t>
      </w:r>
    </w:p>
    <w:p w14:paraId="6189F619">
      <w:pPr>
        <w:spacing w:line="520" w:lineRule="exact"/>
        <w:ind w:firstLine="560" w:firstLineChars="200"/>
        <w:jc w:val="right"/>
        <w:rPr>
          <w:rFonts w:hint="eastAsia" w:ascii="宋体" w:hAnsi="宋体" w:eastAsia="宋体" w:cs="宋体"/>
          <w:sz w:val="28"/>
          <w:szCs w:val="28"/>
        </w:rPr>
      </w:pPr>
    </w:p>
    <w:p w14:paraId="3B29A9B1">
      <w:pPr>
        <w:widowControl/>
        <w:jc w:val="center"/>
        <w:rPr>
          <w:rFonts w:hint="eastAsia" w:ascii="宋体" w:hAnsi="宋体" w:eastAsia="宋体" w:cs="宋体"/>
          <w:sz w:val="28"/>
          <w:szCs w:val="28"/>
        </w:rPr>
      </w:pPr>
      <w:r>
        <w:rPr>
          <w:rFonts w:hint="eastAsia" w:ascii="宋体" w:hAnsi="宋体" w:eastAsia="宋体" w:cs="宋体"/>
          <w:sz w:val="28"/>
          <w:szCs w:val="28"/>
        </w:rPr>
        <w:br w:type="page"/>
      </w:r>
    </w:p>
    <w:p w14:paraId="1C6B6FA4">
      <w:pPr>
        <w:widowControl/>
        <w:jc w:val="left"/>
        <w:rPr>
          <w:rFonts w:hint="eastAsia" w:ascii="宋体" w:hAnsi="宋体" w:eastAsia="宋体" w:cs="宋体"/>
          <w:sz w:val="28"/>
          <w:szCs w:val="28"/>
        </w:rPr>
      </w:pPr>
      <w:r>
        <w:rPr>
          <w:rFonts w:hint="eastAsia" w:ascii="宋体" w:hAnsi="宋体" w:eastAsia="宋体" w:cs="宋体"/>
          <w:sz w:val="28"/>
          <w:szCs w:val="28"/>
        </w:rPr>
        <w:t>附件1：竞赛规程</w:t>
      </w:r>
    </w:p>
    <w:p w14:paraId="13704FD9">
      <w:pPr>
        <w:widowControl/>
        <w:jc w:val="center"/>
        <w:rPr>
          <w:rFonts w:hint="eastAsia" w:ascii="宋体" w:hAnsi="宋体" w:eastAsia="宋体" w:cs="宋体"/>
          <w:sz w:val="28"/>
          <w:szCs w:val="28"/>
        </w:rPr>
      </w:pPr>
      <w:r>
        <w:rPr>
          <w:rFonts w:hint="eastAsia" w:ascii="黑体" w:hAnsi="黑体" w:eastAsia="黑体" w:cs="黑体"/>
          <w:color w:val="000000" w:themeColor="text1"/>
          <w:sz w:val="36"/>
          <w:szCs w:val="36"/>
          <w14:textFill>
            <w14:solidFill>
              <w14:schemeClr w14:val="tx1"/>
            </w14:solidFill>
          </w14:textFill>
        </w:rPr>
        <w:t>安徽电子信息职业技术学院</w:t>
      </w:r>
    </w:p>
    <w:p w14:paraId="56B406A8">
      <w:pPr>
        <w:spacing w:line="520" w:lineRule="exact"/>
        <w:jc w:val="center"/>
        <w:rPr>
          <w:rFonts w:hint="eastAsia" w:ascii="宋体" w:hAnsi="宋体" w:eastAsia="宋体" w:cs="宋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2025年信息技术应用创新大赛竞赛规程</w:t>
      </w:r>
    </w:p>
    <w:p w14:paraId="5370382B">
      <w:pPr>
        <w:jc w:val="center"/>
        <w:rPr>
          <w:rFonts w:ascii="Times New Roman" w:hAnsi="Times New Roman" w:eastAsia="宋体" w:cs="Times New Roman"/>
          <w:color w:val="000000" w:themeColor="text1"/>
          <w:sz w:val="24"/>
          <w:szCs w:val="24"/>
          <w14:textFill>
            <w14:solidFill>
              <w14:schemeClr w14:val="tx1"/>
            </w14:solidFill>
          </w14:textFill>
        </w:rPr>
      </w:pPr>
    </w:p>
    <w:p w14:paraId="13279AFF">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一、赛项名称</w:t>
      </w:r>
    </w:p>
    <w:p w14:paraId="7171E626">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项目名称：信息技术应用创新</w:t>
      </w:r>
      <w:r>
        <w:rPr>
          <w:rFonts w:hint="eastAsia" w:ascii="Times New Roman" w:hAnsi="Times New Roman" w:eastAsia="宋体" w:cs="Times New Roman"/>
          <w:color w:val="000000" w:themeColor="text1"/>
          <w:sz w:val="28"/>
          <w:szCs w:val="28"/>
          <w14:textFill>
            <w14:solidFill>
              <w14:schemeClr w14:val="tx1"/>
            </w14:solidFill>
          </w14:textFill>
        </w:rPr>
        <w:t>大赛</w:t>
      </w:r>
    </w:p>
    <w:p w14:paraId="399744E1">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英文名称：Information Technology Application Innovation C</w:t>
      </w:r>
      <w:r>
        <w:rPr>
          <w:rFonts w:hint="eastAsia" w:ascii="Times New Roman" w:hAnsi="Times New Roman" w:eastAsia="宋体" w:cs="Times New Roman"/>
          <w:color w:val="000000" w:themeColor="text1"/>
          <w:sz w:val="28"/>
          <w:szCs w:val="28"/>
          <w14:textFill>
            <w14:solidFill>
              <w14:schemeClr w14:val="tx1"/>
            </w14:solidFill>
          </w14:textFill>
        </w:rPr>
        <w:t>ompetition</w:t>
      </w:r>
    </w:p>
    <w:p w14:paraId="7B3A35FD">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二、竞赛组织</w:t>
      </w:r>
    </w:p>
    <w:p w14:paraId="502968F8">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承办单位：信息工程学院</w:t>
      </w:r>
    </w:p>
    <w:p w14:paraId="5FACCD0F">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三、竞赛目的和任务</w:t>
      </w:r>
    </w:p>
    <w:p w14:paraId="03439690">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信创产业作为我国重点战略布局方向，产业发展思路进一步明晰，从过去零散不成体系的支持，变成了系统的、长期的，以产业链合作的模式。信息技术应用创新赛项旨在通过赛项，基于真实业务场景设计竞赛内容，</w:t>
      </w:r>
      <w:bookmarkStart w:id="0" w:name="_Hlk195309163"/>
      <w:r>
        <w:rPr>
          <w:rFonts w:ascii="Times New Roman" w:hAnsi="Times New Roman" w:eastAsia="宋体" w:cs="Times New Roman"/>
          <w:color w:val="000000" w:themeColor="text1"/>
          <w:sz w:val="28"/>
          <w:szCs w:val="28"/>
          <w14:textFill>
            <w14:solidFill>
              <w14:schemeClr w14:val="tx1"/>
            </w14:solidFill>
          </w14:textFill>
        </w:rPr>
        <w:t>培养学生在信息技术应用创新领域的能力，加强学生对专业综合知识的理解、掌握和应用，提高学生职业素养，激发大学生的创意灵感，强化大学生实践能力、创新能力和合作精神的培养，达到“以赛促学、以赛促教、以赛促改”的目的</w:t>
      </w:r>
      <w:bookmarkEnd w:id="0"/>
      <w:r>
        <w:rPr>
          <w:rFonts w:ascii="Times New Roman" w:hAnsi="Times New Roman" w:eastAsia="宋体" w:cs="Times New Roman"/>
          <w:color w:val="000000" w:themeColor="text1"/>
          <w:sz w:val="28"/>
          <w:szCs w:val="28"/>
          <w14:textFill>
            <w14:solidFill>
              <w14:schemeClr w14:val="tx1"/>
            </w14:solidFill>
          </w14:textFill>
        </w:rPr>
        <w:t>。</w:t>
      </w:r>
    </w:p>
    <w:p w14:paraId="52F3CB2F">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四、竞赛方式与内容</w:t>
      </w:r>
    </w:p>
    <w:p w14:paraId="6DC69EBE">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（一）竞赛方式</w:t>
      </w:r>
    </w:p>
    <w:p w14:paraId="77C4D99A">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竞赛以团队形式参赛，每队2人，每个参赛队指导教师不多于1名。本次比赛分为</w:t>
      </w:r>
      <w:r>
        <w:rPr>
          <w:rFonts w:ascii="Times New Roman" w:hAnsi="Times New Roman" w:eastAsia="宋体" w:cs="Times New Roman"/>
          <w:b/>
          <w:bCs/>
          <w:color w:val="000000" w:themeColor="text1"/>
          <w:sz w:val="28"/>
          <w:szCs w:val="28"/>
          <w14:textFill>
            <w14:solidFill>
              <w14:schemeClr w14:val="tx1"/>
            </w14:solidFill>
          </w14:textFill>
        </w:rPr>
        <w:t>选拔赛</w:t>
      </w:r>
      <w:r>
        <w:rPr>
          <w:rFonts w:ascii="Times New Roman" w:hAnsi="Times New Roman" w:eastAsia="宋体" w:cs="Times New Roman"/>
          <w:color w:val="000000" w:themeColor="text1"/>
          <w:sz w:val="28"/>
          <w:szCs w:val="28"/>
          <w14:textFill>
            <w14:solidFill>
              <w14:schemeClr w14:val="tx1"/>
            </w14:solidFill>
          </w14:textFill>
        </w:rPr>
        <w:t>和</w:t>
      </w:r>
      <w:r>
        <w:rPr>
          <w:rFonts w:ascii="Times New Roman" w:hAnsi="Times New Roman" w:eastAsia="宋体" w:cs="Times New Roman"/>
          <w:b/>
          <w:bCs/>
          <w:color w:val="000000" w:themeColor="text1"/>
          <w:sz w:val="28"/>
          <w:szCs w:val="28"/>
          <w14:textFill>
            <w14:solidFill>
              <w14:schemeClr w14:val="tx1"/>
            </w14:solidFill>
          </w14:textFill>
        </w:rPr>
        <w:t>决赛</w:t>
      </w:r>
      <w:r>
        <w:rPr>
          <w:rFonts w:ascii="Times New Roman" w:hAnsi="Times New Roman" w:eastAsia="宋体" w:cs="Times New Roman"/>
          <w:color w:val="000000" w:themeColor="text1"/>
          <w:sz w:val="28"/>
          <w:szCs w:val="28"/>
          <w14:textFill>
            <w14:solidFill>
              <w14:schemeClr w14:val="tx1"/>
            </w14:solidFill>
          </w14:textFill>
        </w:rPr>
        <w:t>两个阶段，均为现场比赛。选拔赛题目均为客观题，赛前公布练习题供参赛学生练习，最终成绩取团队平均分，根据选拔赛成绩选择前50%参赛队进入决赛。</w:t>
      </w:r>
    </w:p>
    <w:p w14:paraId="55DCEF71">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（二）竞赛内容</w:t>
      </w:r>
    </w:p>
    <w:p w14:paraId="17DA9DB1">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竞赛以信息技术应用创新为支撑，基于国产化操作系统和应用软件，实现数据处理与可视化、环境配置等。主要内容包括但不限于：</w:t>
      </w:r>
    </w:p>
    <w:p w14:paraId="38E04866">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模块一：信创操作系统安装、配置与应用</w:t>
      </w:r>
    </w:p>
    <w:p w14:paraId="07FBE0D2">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任务包括在虚拟机中安装银河麒麟操作系统（如分区、引导配置）及系统基础操作（IP地址设置、用户管理）。重点考察虚拟化环境搭建能力、命令行工具使用（如nmcli配置网络）及系统权限管理（用户组分配）。</w:t>
      </w:r>
    </w:p>
    <w:p w14:paraId="5A8CE8B8">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模块二：国产办公软件应用</w:t>
      </w:r>
    </w:p>
    <w:p w14:paraId="266E676C">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竞赛聚焦国产办公软件（如WPS）的高级应用能力。文档排版需熟练使用样式库统一标题格式、插入自动目录（需正确设置大纲级别）、页眉页脚动态插入页码或章节名。表格处理需掌握复杂公式（如SUMIFS多条件求和）、数据透视表（分类汇总与筛选）及可视化技巧（如动态图表联动）。特别注意国产软件特性：如WPS的“智能表格”可关联外部数据源，永中Office的跨文档对象嵌入功能。扣分点包括格式错乱（因字体缺失或版本兼容性）、图表数据源引用错误等。</w:t>
      </w:r>
    </w:p>
    <w:p w14:paraId="134FEBEC">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模块三：国产数据库应用</w:t>
      </w:r>
    </w:p>
    <w:p w14:paraId="0DCC099C">
      <w:pPr>
        <w:spacing w:before="156" w:beforeLines="50" w:after="156" w:afterLines="50"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任务要求基于国产数据库（如达梦DM8）完成全流程操作。安装阶段需注意权限配置（如禁用root启动服务）、端口开放（防火墙策略firewalld/iptables）及初始化参数优化（如内存分配）。数据库操作需编写符合国产语法规范的SQL语句，实现多表关联查询（JOIN）、事务控制（BEGIN TRANSACTION）及视图创建。数据导出需掌握命令行工具（如达梦的dexp导出数据泵文件）或图形化工具（如DMSQL）生成备份脚本。</w:t>
      </w:r>
    </w:p>
    <w:p w14:paraId="7C1A80B1">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五、评分规则及奖项设定</w:t>
      </w:r>
    </w:p>
    <w:p w14:paraId="1FC7FCD7">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（一）评分标准及分值</w:t>
      </w:r>
    </w:p>
    <w:p w14:paraId="563B855E">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本项目竞赛根据选手在规定时间内完成竞赛任务情况评分，满分为 100 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2268"/>
        <w:gridCol w:w="3260"/>
        <w:gridCol w:w="788"/>
      </w:tblGrid>
      <w:tr w14:paraId="6182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44784901">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信息技术应用创新</w:t>
            </w:r>
          </w:p>
        </w:tc>
        <w:tc>
          <w:tcPr>
            <w:tcW w:w="992" w:type="dxa"/>
            <w:vMerge w:val="restart"/>
            <w:vAlign w:val="center"/>
          </w:tcPr>
          <w:p w14:paraId="55958DBE">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总分：</w:t>
            </w:r>
          </w:p>
          <w:p w14:paraId="656B9ED1">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100分</w:t>
            </w:r>
          </w:p>
        </w:tc>
        <w:tc>
          <w:tcPr>
            <w:tcW w:w="2268" w:type="dxa"/>
          </w:tcPr>
          <w:p w14:paraId="6CB8AE3C">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模块</w:t>
            </w:r>
          </w:p>
        </w:tc>
        <w:tc>
          <w:tcPr>
            <w:tcW w:w="3260" w:type="dxa"/>
          </w:tcPr>
          <w:p w14:paraId="04012CBC">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任务</w:t>
            </w:r>
          </w:p>
        </w:tc>
        <w:tc>
          <w:tcPr>
            <w:tcW w:w="788" w:type="dxa"/>
          </w:tcPr>
          <w:p w14:paraId="3C1DE25E">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分值</w:t>
            </w:r>
          </w:p>
        </w:tc>
      </w:tr>
      <w:tr w14:paraId="679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5375AFB6">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992" w:type="dxa"/>
            <w:vMerge w:val="continue"/>
          </w:tcPr>
          <w:p w14:paraId="64E2C84F">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2268" w:type="dxa"/>
            <w:vAlign w:val="center"/>
          </w:tcPr>
          <w:p w14:paraId="6B2B6DD1">
            <w:pPr>
              <w:spacing w:line="520" w:lineRule="exact"/>
              <w:ind w:firstLine="240" w:firstLineChars="10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模块一：信创操作系统</w:t>
            </w:r>
          </w:p>
          <w:p w14:paraId="7C20D313">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配置与应用</w:t>
            </w:r>
          </w:p>
        </w:tc>
        <w:tc>
          <w:tcPr>
            <w:tcW w:w="3260" w:type="dxa"/>
          </w:tcPr>
          <w:p w14:paraId="124E6C54">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（1）在虚拟机安装银河麒麟操作系统。</w:t>
            </w:r>
          </w:p>
          <w:p w14:paraId="659E7FB2">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（2）系统基本操作：配置IP地址、桌面背景设置、用户管理等。</w:t>
            </w:r>
          </w:p>
        </w:tc>
        <w:tc>
          <w:tcPr>
            <w:tcW w:w="788" w:type="dxa"/>
            <w:vAlign w:val="center"/>
          </w:tcPr>
          <w:p w14:paraId="0C95BDD0">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30分</w:t>
            </w:r>
          </w:p>
        </w:tc>
      </w:tr>
      <w:tr w14:paraId="7D00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6E43F887">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p>
        </w:tc>
        <w:tc>
          <w:tcPr>
            <w:tcW w:w="992" w:type="dxa"/>
            <w:vMerge w:val="continue"/>
          </w:tcPr>
          <w:p w14:paraId="40A23A12">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p>
        </w:tc>
        <w:tc>
          <w:tcPr>
            <w:tcW w:w="2268" w:type="dxa"/>
            <w:vAlign w:val="center"/>
          </w:tcPr>
          <w:p w14:paraId="2A9A9517">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模块二：国产办公软件应用</w:t>
            </w:r>
          </w:p>
        </w:tc>
        <w:tc>
          <w:tcPr>
            <w:tcW w:w="3260" w:type="dxa"/>
          </w:tcPr>
          <w:p w14:paraId="075650F3">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（1）文档编辑：按照要求制作文档并排版。</w:t>
            </w:r>
          </w:p>
          <w:p w14:paraId="156C3998">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（2）电子表格处理：将已有表格按照要求处理并做简单可视化。</w:t>
            </w:r>
          </w:p>
        </w:tc>
        <w:tc>
          <w:tcPr>
            <w:tcW w:w="788" w:type="dxa"/>
            <w:vAlign w:val="center"/>
          </w:tcPr>
          <w:p w14:paraId="73EA4259">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40分</w:t>
            </w:r>
          </w:p>
        </w:tc>
      </w:tr>
      <w:tr w14:paraId="0BE2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1035687C">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p>
        </w:tc>
        <w:tc>
          <w:tcPr>
            <w:tcW w:w="992" w:type="dxa"/>
            <w:vMerge w:val="continue"/>
          </w:tcPr>
          <w:p w14:paraId="6BF61C82">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p>
        </w:tc>
        <w:tc>
          <w:tcPr>
            <w:tcW w:w="2268" w:type="dxa"/>
            <w:vAlign w:val="center"/>
          </w:tcPr>
          <w:p w14:paraId="5BB0A1A8">
            <w:pPr>
              <w:spacing w:line="52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模块三：国产数据库应用</w:t>
            </w:r>
          </w:p>
        </w:tc>
        <w:tc>
          <w:tcPr>
            <w:tcW w:w="3260" w:type="dxa"/>
          </w:tcPr>
          <w:p w14:paraId="2236A2BE">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（1）数据库软件安装：按照题目要求在虚拟机中安装国产数据库软件并配置相应环境。</w:t>
            </w:r>
          </w:p>
          <w:p w14:paraId="250E1E67">
            <w:pPr>
              <w:spacing w:line="5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（2）数据库操作：使用国产数据库进行简单增删改查操作。</w:t>
            </w:r>
          </w:p>
        </w:tc>
        <w:tc>
          <w:tcPr>
            <w:tcW w:w="788" w:type="dxa"/>
            <w:vAlign w:val="center"/>
          </w:tcPr>
          <w:p w14:paraId="29B124EB">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30分</w:t>
            </w:r>
          </w:p>
        </w:tc>
      </w:tr>
    </w:tbl>
    <w:p w14:paraId="7C1F4CC7">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 xml:space="preserve">（二）奖项设置 </w:t>
      </w:r>
    </w:p>
    <w:p w14:paraId="57D17BE8">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本次竞赛设一等奖、二等奖、三等奖若干名，颁发获奖证书和奖励。奖项设置以决赛参赛队伍为基数，按决赛队伍成绩排序，奖项按《安徽电子信息职业技术学院职业技能竞赛管理办法》要求设置。</w:t>
      </w:r>
    </w:p>
    <w:p w14:paraId="1A8B58D0">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 xml:space="preserve">六、参赛对象 </w:t>
      </w:r>
    </w:p>
    <w:p w14:paraId="6EDADBC2">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参赛对象为安徽电子信息职业技术学院在籍在校学生，参赛各队队员必须由2名在校学生组成（设队长1名），每个参赛队指导教师不多于1名。各教学单位参赛队伍数量不做限制。</w:t>
      </w:r>
    </w:p>
    <w:p w14:paraId="5D2D8428">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七、竞赛流程</w:t>
      </w:r>
    </w:p>
    <w:p w14:paraId="3633D4EA">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（一）时间安排</w:t>
      </w:r>
    </w:p>
    <w:p w14:paraId="7D7BDB70">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1.报名时间</w:t>
      </w:r>
    </w:p>
    <w:p w14:paraId="139E4E01">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color w:val="000000" w:themeColor="text1"/>
          <w:sz w:val="28"/>
          <w:szCs w:val="28"/>
          <w14:textFill>
            <w14:solidFill>
              <w14:schemeClr w14:val="tx1"/>
            </w14:solidFill>
          </w14:textFill>
        </w:rPr>
        <w:t>2025年4月1</w:t>
      </w:r>
      <w:r>
        <w:rPr>
          <w:rFonts w:hint="eastAsia" w:ascii="Times New Roman" w:hAnsi="Times New Roman" w:eastAsia="宋体" w:cs="Times New Roman"/>
          <w:color w:val="000000" w:themeColor="text1"/>
          <w:sz w:val="28"/>
          <w:szCs w:val="28"/>
          <w14:textFill>
            <w14:solidFill>
              <w14:schemeClr w14:val="tx1"/>
            </w14:solidFill>
          </w14:textFill>
        </w:rPr>
        <w:t>7</w:t>
      </w:r>
      <w:r>
        <w:rPr>
          <w:rFonts w:ascii="Times New Roman" w:hAnsi="Times New Roman" w:eastAsia="宋体" w:cs="Times New Roman"/>
          <w:color w:val="000000" w:themeColor="text1"/>
          <w:sz w:val="28"/>
          <w:szCs w:val="28"/>
          <w14:textFill>
            <w14:solidFill>
              <w14:schemeClr w14:val="tx1"/>
            </w14:solidFill>
          </w14:textFill>
        </w:rPr>
        <w:t>日至2025年4月</w:t>
      </w:r>
      <w:r>
        <w:rPr>
          <w:rFonts w:hint="eastAsia" w:ascii="Times New Roman" w:hAnsi="Times New Roman" w:eastAsia="宋体" w:cs="Times New Roman"/>
          <w:color w:val="000000" w:themeColor="text1"/>
          <w:sz w:val="28"/>
          <w:szCs w:val="28"/>
          <w14:textFill>
            <w14:solidFill>
              <w14:schemeClr w14:val="tx1"/>
            </w14:solidFill>
          </w14:textFill>
        </w:rPr>
        <w:t>30</w:t>
      </w:r>
      <w:r>
        <w:rPr>
          <w:rFonts w:ascii="Times New Roman" w:hAnsi="Times New Roman" w:eastAsia="宋体" w:cs="Times New Roman"/>
          <w:color w:val="000000" w:themeColor="text1"/>
          <w:sz w:val="28"/>
          <w:szCs w:val="28"/>
          <w14:textFill>
            <w14:solidFill>
              <w14:schemeClr w14:val="tx1"/>
            </w14:solidFill>
          </w14:textFill>
        </w:rPr>
        <w:t xml:space="preserve">日。请有意参加竞赛的同学下载 </w:t>
      </w:r>
      <w:r>
        <w:rPr>
          <w:rFonts w:ascii="Times New Roman" w:hAnsi="Times New Roman" w:eastAsia="宋体" w:cs="Times New Roman"/>
          <w:b/>
          <w:bCs/>
          <w:color w:val="000000" w:themeColor="text1"/>
          <w:sz w:val="28"/>
          <w:szCs w:val="28"/>
          <w14:textFill>
            <w14:solidFill>
              <w14:schemeClr w14:val="tx1"/>
            </w14:solidFill>
          </w14:textFill>
        </w:rPr>
        <w:t>附件2参赛报名表</w:t>
      </w:r>
      <w:r>
        <w:rPr>
          <w:rFonts w:ascii="Times New Roman" w:hAnsi="Times New Roman" w:eastAsia="宋体" w:cs="Times New Roman"/>
          <w:color w:val="000000" w:themeColor="text1"/>
          <w:sz w:val="28"/>
          <w:szCs w:val="28"/>
          <w14:textFill>
            <w14:solidFill>
              <w14:schemeClr w14:val="tx1"/>
            </w14:solidFill>
          </w14:textFill>
        </w:rPr>
        <w:t xml:space="preserve">，并将报名表在规定时间内以班级为单位发送邮箱1447610574@qq.com 。 </w:t>
      </w:r>
    </w:p>
    <w:p w14:paraId="3B2328A6">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2.选拔赛时间</w:t>
      </w:r>
    </w:p>
    <w:p w14:paraId="4EDB2931">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2025年5月10日 9：00-10：00</w:t>
      </w:r>
    </w:p>
    <w:p w14:paraId="48C8222E">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3.决赛时间</w:t>
      </w:r>
    </w:p>
    <w:p w14:paraId="40D40F56">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2025年5月17日 9：00-11：00</w:t>
      </w:r>
    </w:p>
    <w:p w14:paraId="225D1ACE">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请至少提前30分钟到达比赛场地。</w:t>
      </w:r>
    </w:p>
    <w:p w14:paraId="68DA0C07">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（二）比赛时长</w:t>
      </w:r>
    </w:p>
    <w:p w14:paraId="100C556B">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选拔赛限时1小时，决赛限时2.5小时。</w:t>
      </w:r>
    </w:p>
    <w:p w14:paraId="44359A6D">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（三）比赛地点</w:t>
      </w:r>
    </w:p>
    <w:p w14:paraId="5772160C">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具体地点根据报名情况分配，详情见后续竞赛群通知。</w:t>
      </w:r>
    </w:p>
    <w:p w14:paraId="4EC4AB04">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八、竞赛赛题</w:t>
      </w:r>
    </w:p>
    <w:p w14:paraId="69E19E6E">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选拔赛、决赛两个阶段的竞赛试题由信息工程学院成立的相关竞赛组织工作小组出题（竞赛指导教师不参与竞赛试题编制），选拔赛试题采用智能组卷方式出题，决赛试题在竞赛前一小时打印分发给竞赛选手，保证竞赛公平、公正。</w:t>
      </w:r>
    </w:p>
    <w:p w14:paraId="0F87C3F8">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九、竞赛环境</w:t>
      </w:r>
    </w:p>
    <w:p w14:paraId="6675CB0C">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参赛队员根据竞赛要求，使用指定的竞赛用电脑和竞赛平台，竞赛用电脑由竞赛组织部门统一提供，主要软件包括：</w:t>
      </w:r>
    </w:p>
    <w:p w14:paraId="4FFB6FEA">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（一）操作系统：KylinOS</w:t>
      </w:r>
    </w:p>
    <w:p w14:paraId="7C0134B4">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（二）办公软件：WPS Office</w:t>
      </w:r>
    </w:p>
    <w:p w14:paraId="554FCF48">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（三）数据库软件：openGauss、TiDB、OceanBase、GaussDB、达梦、人大金仓等国产数据库中的一种。</w:t>
      </w:r>
    </w:p>
    <w:p w14:paraId="71CFDA97">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十、竞赛须知</w:t>
      </w:r>
    </w:p>
    <w:p w14:paraId="4E01C01A">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（一）参赛队须知</w:t>
      </w:r>
    </w:p>
    <w:p w14:paraId="343378FE">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参赛队必须在抽签号指定的位置就坐和操作指定的计算机；在竞赛过程中，参赛队员根据题目要求完成软件安装、配置和应用操作，参赛队员不得和竞赛组织指定工作人员以外的人员交谈，现场工作人员只能回答和处理与平台系统相关的问题；竞赛时间为2.5小时，结束前15分钟有相应提示。若参赛队员出现妨碍比赛正常进行的行为，诸如擅自移动赛场中的设备，未经授权修改比赛软硬件，干扰他人比赛等，取消其参赛资格。</w:t>
      </w:r>
    </w:p>
    <w:p w14:paraId="35B5700E">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（二）指导教师须知</w:t>
      </w:r>
    </w:p>
    <w:p w14:paraId="0C98A361">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指导教师应客观公正，正确引导参赛学生；针对竞赛过程中出现的意外情况，指导教师应保持冷静，客观分析，不要干扰或影响其他竞赛队；指导教师在学生竞赛期间，不得与学生进行沟通交流。</w:t>
      </w:r>
    </w:p>
    <w:p w14:paraId="56C06EFE">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（三）参赛选手须知</w:t>
      </w:r>
    </w:p>
    <w:p w14:paraId="2F6EED4D">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参赛选手应严格遵守赛场规则，服从赛场工作人员管理；对于竞赛过程出现的问题，应及时向现场工作人员反馈，不要影响其他组竞赛；参赛选手在竞赛过程中，不得携带U盘、软件、手机、智能设备及电子档案材料，不得在竞赛工位上标识相关标记，违者取消参赛资格；参赛选手应提前15分钟等候进入赛场，否则取消其参赛资格，比赛开始1小时后方可提交竞赛结果并离开赛场；参赛选手在赛场，不得为其他参赛队提供解释或者技术支持，违者双方参赛队以0分处理。</w:t>
      </w:r>
    </w:p>
    <w:p w14:paraId="4D927372">
      <w:pPr>
        <w:spacing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（四）工作人员须知</w:t>
      </w:r>
    </w:p>
    <w:p w14:paraId="0663B967">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工作人员应保证客观、公平、公正原理，不得随意与参赛队员交谈或提示；工作人员发现参赛队员有作弊行为，应及时制止，并及时向竞赛组委会反馈；工作人员要积极服务各参赛队员和指导教师，为参赛队员和指导教师提供良好的竞赛氛围和竞赛服务。</w:t>
      </w:r>
    </w:p>
    <w:p w14:paraId="3ACC67DB">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十一、申诉与仲裁</w:t>
      </w:r>
    </w:p>
    <w:p w14:paraId="4EB90251">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比赛过程中若出现有失公正或有关人员违规等现象，参赛选手可在竞赛结束2小时内向仲裁委员会提出书面申诉，申诉书应包括申诉原因、申诉诉求、申诉团队等内容，并由申诉团队相关参赛队员、指导教师签字。</w:t>
      </w:r>
    </w:p>
    <w:p w14:paraId="2A9ABB63">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组委会委托裁判根据比赛规则，针对申诉内容，给出相应的裁决依据，仲裁请求和裁决依据2份材料一起提交仲裁委员会。仲裁委员会依据比赛规范、规则以及裁判给出的裁决依据对比赛结果进行仲裁。该仲裁结果为最终结果。</w:t>
      </w:r>
    </w:p>
    <w:p w14:paraId="0D139644">
      <w:pPr>
        <w:spacing w:before="156" w:beforeLines="50" w:after="156" w:afterLines="50" w:line="520" w:lineRule="exact"/>
        <w:ind w:firstLine="562" w:firstLineChars="200"/>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十二、其他</w:t>
      </w:r>
    </w:p>
    <w:p w14:paraId="43786540">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其它未尽事项，另行通知。</w:t>
      </w:r>
    </w:p>
    <w:p w14:paraId="7CD12B14">
      <w:pPr>
        <w:spacing w:line="520" w:lineRule="exact"/>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竞赛联系人：孟瑾昊 电话：17756830872</w:t>
      </w:r>
    </w:p>
    <w:p w14:paraId="6A68A4BF">
      <w:pPr>
        <w:widowControl/>
        <w:spacing w:line="520" w:lineRule="exact"/>
        <w:jc w:val="left"/>
        <w:rPr>
          <w:rFonts w:ascii="Times New Roman" w:hAnsi="Times New Roman" w:eastAsia="宋体" w:cs="Times New Roman"/>
          <w:sz w:val="28"/>
          <w:szCs w:val="28"/>
        </w:rPr>
      </w:pPr>
    </w:p>
    <w:p w14:paraId="736E2B70">
      <w:pPr>
        <w:spacing w:line="520" w:lineRule="exact"/>
        <w:ind w:firstLine="560" w:firstLineChars="200"/>
        <w:jc w:val="right"/>
        <w:rPr>
          <w:rFonts w:hint="eastAsia" w:ascii="宋体" w:hAnsi="宋体" w:eastAsia="宋体" w:cs="宋体"/>
          <w:sz w:val="28"/>
          <w:szCs w:val="28"/>
        </w:rPr>
      </w:pPr>
    </w:p>
    <w:p w14:paraId="3C0C440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4B4B6381">
      <w:pPr>
        <w:widowControl/>
        <w:jc w:val="left"/>
        <w:rPr>
          <w:rFonts w:hint="eastAsia" w:ascii="宋体" w:hAnsi="宋体" w:eastAsia="宋体" w:cs="宋体"/>
          <w:sz w:val="28"/>
          <w:szCs w:val="28"/>
        </w:rPr>
      </w:pPr>
      <w:r>
        <w:rPr>
          <w:rFonts w:hint="eastAsia" w:ascii="宋体" w:hAnsi="宋体" w:eastAsia="宋体" w:cs="宋体"/>
          <w:sz w:val="28"/>
          <w:szCs w:val="28"/>
        </w:rPr>
        <w:t>附件2：</w:t>
      </w:r>
      <w:r>
        <w:rPr>
          <w:rFonts w:ascii="宋体" w:hAnsi="宋体" w:eastAsia="宋体" w:cs="宋体"/>
          <w:sz w:val="28"/>
          <w:szCs w:val="28"/>
        </w:rPr>
        <w:t xml:space="preserve"> </w:t>
      </w:r>
    </w:p>
    <w:p w14:paraId="1DB950EC">
      <w:pPr>
        <w:widowControl/>
        <w:jc w:val="center"/>
        <w:rPr>
          <w:rFonts w:hint="eastAsia" w:ascii="宋体" w:hAnsi="宋体" w:eastAsia="宋体" w:cs="宋体"/>
          <w:sz w:val="28"/>
          <w:szCs w:val="28"/>
        </w:rPr>
      </w:pPr>
      <w:r>
        <w:rPr>
          <w:rFonts w:hint="eastAsia" w:ascii="Times New Roman" w:hAnsi="Times New Roman" w:eastAsia="宋体" w:cs="Times New Roman"/>
          <w:b/>
          <w:bCs/>
          <w:color w:val="000000" w:themeColor="text1"/>
          <w:sz w:val="28"/>
          <w:szCs w:val="28"/>
          <w14:textFill>
            <w14:solidFill>
              <w14:schemeClr w14:val="tx1"/>
            </w14:solidFill>
          </w14:textFill>
        </w:rPr>
        <w:t>安徽电子信息职业技术学院2025年信息技术应用创新大赛</w:t>
      </w:r>
      <w:r>
        <w:rPr>
          <w:rFonts w:ascii="Times New Roman" w:hAnsi="Times New Roman" w:eastAsia="宋体" w:cs="Times New Roman"/>
          <w:b/>
          <w:bCs/>
          <w:color w:val="000000" w:themeColor="text1"/>
          <w:sz w:val="28"/>
          <w:szCs w:val="28"/>
          <w14:textFill>
            <w14:solidFill>
              <w14:schemeClr w14:val="tx1"/>
            </w14:solidFill>
          </w14:textFill>
        </w:rPr>
        <w:t>参赛报名表</w:t>
      </w:r>
    </w:p>
    <w:tbl>
      <w:tblPr>
        <w:tblStyle w:val="16"/>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292"/>
        <w:gridCol w:w="1275"/>
        <w:gridCol w:w="1701"/>
        <w:gridCol w:w="1772"/>
        <w:gridCol w:w="2192"/>
      </w:tblGrid>
      <w:tr w14:paraId="1F9B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5EDEF22">
            <w:pPr>
              <w:widowControl/>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2" w:type="dxa"/>
          </w:tcPr>
          <w:p w14:paraId="73FBE808">
            <w:pPr>
              <w:widowControl/>
              <w:jc w:val="center"/>
              <w:rPr>
                <w:rFonts w:hint="eastAsia" w:ascii="宋体" w:hAnsi="宋体" w:eastAsia="宋体" w:cs="宋体"/>
                <w:sz w:val="24"/>
                <w:szCs w:val="24"/>
              </w:rPr>
            </w:pPr>
            <w:r>
              <w:rPr>
                <w:rFonts w:hint="eastAsia" w:ascii="宋体" w:hAnsi="宋体" w:eastAsia="宋体" w:cs="宋体"/>
                <w:sz w:val="24"/>
                <w:szCs w:val="24"/>
              </w:rPr>
              <w:t>队员姓名</w:t>
            </w:r>
          </w:p>
        </w:tc>
        <w:tc>
          <w:tcPr>
            <w:tcW w:w="1275" w:type="dxa"/>
          </w:tcPr>
          <w:p w14:paraId="1F3A527A">
            <w:pPr>
              <w:widowControl/>
              <w:jc w:val="center"/>
              <w:rPr>
                <w:rFonts w:hint="eastAsia" w:ascii="宋体" w:hAnsi="宋体" w:eastAsia="宋体" w:cs="宋体"/>
                <w:sz w:val="24"/>
                <w:szCs w:val="24"/>
              </w:rPr>
            </w:pPr>
            <w:r>
              <w:rPr>
                <w:rFonts w:hint="eastAsia" w:ascii="宋体" w:hAnsi="宋体" w:eastAsia="宋体" w:cs="宋体"/>
                <w:sz w:val="24"/>
                <w:szCs w:val="24"/>
              </w:rPr>
              <w:t>队员学号</w:t>
            </w:r>
          </w:p>
        </w:tc>
        <w:tc>
          <w:tcPr>
            <w:tcW w:w="1701" w:type="dxa"/>
          </w:tcPr>
          <w:p w14:paraId="22015E57">
            <w:pPr>
              <w:widowControl/>
              <w:jc w:val="center"/>
              <w:rPr>
                <w:rFonts w:hint="eastAsia" w:ascii="宋体" w:hAnsi="宋体" w:eastAsia="宋体" w:cs="宋体"/>
                <w:sz w:val="24"/>
                <w:szCs w:val="24"/>
              </w:rPr>
            </w:pPr>
            <w:r>
              <w:rPr>
                <w:rFonts w:hint="eastAsia" w:ascii="宋体" w:hAnsi="宋体" w:eastAsia="宋体" w:cs="宋体"/>
                <w:sz w:val="24"/>
                <w:szCs w:val="24"/>
              </w:rPr>
              <w:t>队员联系方式</w:t>
            </w:r>
          </w:p>
        </w:tc>
        <w:tc>
          <w:tcPr>
            <w:tcW w:w="1772" w:type="dxa"/>
          </w:tcPr>
          <w:p w14:paraId="298CE495">
            <w:pPr>
              <w:widowControl/>
              <w:jc w:val="center"/>
              <w:rPr>
                <w:rFonts w:hint="eastAsia" w:ascii="宋体" w:hAnsi="宋体" w:eastAsia="宋体" w:cs="宋体"/>
                <w:sz w:val="24"/>
                <w:szCs w:val="24"/>
              </w:rPr>
            </w:pPr>
            <w:r>
              <w:rPr>
                <w:rFonts w:hint="eastAsia" w:ascii="宋体" w:hAnsi="宋体" w:eastAsia="宋体" w:cs="宋体"/>
                <w:sz w:val="24"/>
                <w:szCs w:val="24"/>
              </w:rPr>
              <w:t>指导教师姓名</w:t>
            </w:r>
          </w:p>
        </w:tc>
        <w:tc>
          <w:tcPr>
            <w:tcW w:w="2192" w:type="dxa"/>
          </w:tcPr>
          <w:p w14:paraId="1D29EBB7">
            <w:pPr>
              <w:widowControl/>
              <w:jc w:val="center"/>
              <w:rPr>
                <w:rFonts w:hint="eastAsia" w:ascii="宋体" w:hAnsi="宋体" w:eastAsia="宋体" w:cs="宋体"/>
                <w:sz w:val="24"/>
                <w:szCs w:val="24"/>
              </w:rPr>
            </w:pPr>
            <w:r>
              <w:rPr>
                <w:rFonts w:hint="eastAsia" w:ascii="宋体" w:hAnsi="宋体" w:eastAsia="宋体" w:cs="宋体"/>
                <w:sz w:val="24"/>
                <w:szCs w:val="24"/>
              </w:rPr>
              <w:t>指导教师联系方式</w:t>
            </w:r>
          </w:p>
        </w:tc>
      </w:tr>
      <w:tr w14:paraId="32EF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03DCF940">
            <w:pPr>
              <w:widowControl/>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292" w:type="dxa"/>
          </w:tcPr>
          <w:p w14:paraId="4F52C63E">
            <w:pPr>
              <w:widowControl/>
              <w:jc w:val="center"/>
              <w:rPr>
                <w:rFonts w:hint="eastAsia" w:ascii="宋体" w:hAnsi="宋体" w:eastAsia="宋体" w:cs="宋体"/>
                <w:sz w:val="24"/>
                <w:szCs w:val="24"/>
              </w:rPr>
            </w:pPr>
          </w:p>
        </w:tc>
        <w:tc>
          <w:tcPr>
            <w:tcW w:w="1275" w:type="dxa"/>
          </w:tcPr>
          <w:p w14:paraId="5504FB1A">
            <w:pPr>
              <w:widowControl/>
              <w:jc w:val="center"/>
              <w:rPr>
                <w:rFonts w:hint="eastAsia" w:ascii="宋体" w:hAnsi="宋体" w:eastAsia="宋体" w:cs="宋体"/>
                <w:sz w:val="24"/>
                <w:szCs w:val="24"/>
              </w:rPr>
            </w:pPr>
          </w:p>
        </w:tc>
        <w:tc>
          <w:tcPr>
            <w:tcW w:w="1701" w:type="dxa"/>
          </w:tcPr>
          <w:p w14:paraId="358C28FE">
            <w:pPr>
              <w:widowControl/>
              <w:jc w:val="center"/>
              <w:rPr>
                <w:rFonts w:hint="eastAsia" w:ascii="宋体" w:hAnsi="宋体" w:eastAsia="宋体" w:cs="宋体"/>
                <w:sz w:val="24"/>
                <w:szCs w:val="24"/>
              </w:rPr>
            </w:pPr>
          </w:p>
        </w:tc>
        <w:tc>
          <w:tcPr>
            <w:tcW w:w="1772" w:type="dxa"/>
          </w:tcPr>
          <w:p w14:paraId="5D0D6466">
            <w:pPr>
              <w:widowControl/>
              <w:jc w:val="center"/>
              <w:rPr>
                <w:rFonts w:hint="eastAsia" w:ascii="宋体" w:hAnsi="宋体" w:eastAsia="宋体" w:cs="宋体"/>
                <w:sz w:val="24"/>
                <w:szCs w:val="24"/>
              </w:rPr>
            </w:pPr>
          </w:p>
        </w:tc>
        <w:tc>
          <w:tcPr>
            <w:tcW w:w="2192" w:type="dxa"/>
          </w:tcPr>
          <w:p w14:paraId="65D18BDF">
            <w:pPr>
              <w:widowControl/>
              <w:jc w:val="center"/>
              <w:rPr>
                <w:rFonts w:hint="eastAsia" w:ascii="宋体" w:hAnsi="宋体" w:eastAsia="宋体" w:cs="宋体"/>
                <w:sz w:val="24"/>
                <w:szCs w:val="24"/>
              </w:rPr>
            </w:pPr>
          </w:p>
        </w:tc>
      </w:tr>
      <w:tr w14:paraId="0202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14:paraId="59EC95B6">
            <w:pPr>
              <w:widowControl/>
              <w:jc w:val="center"/>
              <w:rPr>
                <w:rFonts w:hint="eastAsia" w:ascii="宋体" w:hAnsi="宋体" w:eastAsia="宋体" w:cs="宋体"/>
                <w:sz w:val="24"/>
                <w:szCs w:val="24"/>
              </w:rPr>
            </w:pPr>
          </w:p>
        </w:tc>
        <w:tc>
          <w:tcPr>
            <w:tcW w:w="1292" w:type="dxa"/>
          </w:tcPr>
          <w:p w14:paraId="643854CF">
            <w:pPr>
              <w:widowControl/>
              <w:jc w:val="center"/>
              <w:rPr>
                <w:rFonts w:hint="eastAsia" w:ascii="宋体" w:hAnsi="宋体" w:eastAsia="宋体" w:cs="宋体"/>
                <w:sz w:val="24"/>
                <w:szCs w:val="24"/>
              </w:rPr>
            </w:pPr>
          </w:p>
        </w:tc>
        <w:tc>
          <w:tcPr>
            <w:tcW w:w="1275" w:type="dxa"/>
          </w:tcPr>
          <w:p w14:paraId="20323305">
            <w:pPr>
              <w:widowControl/>
              <w:jc w:val="center"/>
              <w:rPr>
                <w:rFonts w:hint="eastAsia" w:ascii="宋体" w:hAnsi="宋体" w:eastAsia="宋体" w:cs="宋体"/>
                <w:sz w:val="24"/>
                <w:szCs w:val="24"/>
              </w:rPr>
            </w:pPr>
          </w:p>
        </w:tc>
        <w:tc>
          <w:tcPr>
            <w:tcW w:w="1701" w:type="dxa"/>
          </w:tcPr>
          <w:p w14:paraId="601A8667">
            <w:pPr>
              <w:widowControl/>
              <w:jc w:val="center"/>
              <w:rPr>
                <w:rFonts w:hint="eastAsia" w:ascii="宋体" w:hAnsi="宋体" w:eastAsia="宋体" w:cs="宋体"/>
                <w:sz w:val="24"/>
                <w:szCs w:val="24"/>
              </w:rPr>
            </w:pPr>
          </w:p>
        </w:tc>
        <w:tc>
          <w:tcPr>
            <w:tcW w:w="1772" w:type="dxa"/>
          </w:tcPr>
          <w:p w14:paraId="74A30B43">
            <w:pPr>
              <w:widowControl/>
              <w:jc w:val="center"/>
              <w:rPr>
                <w:rFonts w:hint="eastAsia" w:ascii="宋体" w:hAnsi="宋体" w:eastAsia="宋体" w:cs="宋体"/>
                <w:sz w:val="24"/>
                <w:szCs w:val="24"/>
              </w:rPr>
            </w:pPr>
          </w:p>
        </w:tc>
        <w:tc>
          <w:tcPr>
            <w:tcW w:w="2192" w:type="dxa"/>
          </w:tcPr>
          <w:p w14:paraId="2DF3EE1F">
            <w:pPr>
              <w:widowControl/>
              <w:jc w:val="center"/>
              <w:rPr>
                <w:rFonts w:hint="eastAsia" w:ascii="宋体" w:hAnsi="宋体" w:eastAsia="宋体" w:cs="宋体"/>
                <w:sz w:val="24"/>
                <w:szCs w:val="24"/>
              </w:rPr>
            </w:pPr>
          </w:p>
        </w:tc>
      </w:tr>
    </w:tbl>
    <w:p w14:paraId="06E7C153">
      <w:pPr>
        <w:widowControl/>
        <w:rPr>
          <w:rFonts w:hint="eastAsia" w:ascii="宋体" w:hAnsi="宋体" w:eastAsia="宋体" w:cs="宋体"/>
          <w:sz w:val="28"/>
          <w:szCs w:val="28"/>
        </w:rPr>
      </w:pPr>
    </w:p>
    <w:p w14:paraId="375393B8">
      <w:pPr>
        <w:spacing w:line="520" w:lineRule="exact"/>
        <w:ind w:firstLine="560" w:firstLineChars="200"/>
        <w:jc w:val="right"/>
        <w:rPr>
          <w:rFonts w:hint="eastAsia" w:ascii="宋体" w:hAnsi="宋体" w:eastAsia="宋体" w:cs="宋体"/>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34"/>
    <w:rsid w:val="00052089"/>
    <w:rsid w:val="00065876"/>
    <w:rsid w:val="00085DFB"/>
    <w:rsid w:val="000D5E2A"/>
    <w:rsid w:val="001913A1"/>
    <w:rsid w:val="001A14C3"/>
    <w:rsid w:val="001C323C"/>
    <w:rsid w:val="00201552"/>
    <w:rsid w:val="00391E8B"/>
    <w:rsid w:val="00416B94"/>
    <w:rsid w:val="00460E3B"/>
    <w:rsid w:val="00471D7A"/>
    <w:rsid w:val="004C3844"/>
    <w:rsid w:val="004C48B0"/>
    <w:rsid w:val="00580C98"/>
    <w:rsid w:val="005B693E"/>
    <w:rsid w:val="00622294"/>
    <w:rsid w:val="00672925"/>
    <w:rsid w:val="006D2434"/>
    <w:rsid w:val="007025C8"/>
    <w:rsid w:val="00771738"/>
    <w:rsid w:val="007A6E0E"/>
    <w:rsid w:val="007C76EA"/>
    <w:rsid w:val="007E4E01"/>
    <w:rsid w:val="007E79C3"/>
    <w:rsid w:val="007F34F4"/>
    <w:rsid w:val="00802853"/>
    <w:rsid w:val="008B2787"/>
    <w:rsid w:val="008D33AE"/>
    <w:rsid w:val="009302FC"/>
    <w:rsid w:val="00937014"/>
    <w:rsid w:val="00966299"/>
    <w:rsid w:val="0096728B"/>
    <w:rsid w:val="009954E3"/>
    <w:rsid w:val="009E2522"/>
    <w:rsid w:val="00A0694E"/>
    <w:rsid w:val="00A8012D"/>
    <w:rsid w:val="00A81CA0"/>
    <w:rsid w:val="00AC6363"/>
    <w:rsid w:val="00B80A26"/>
    <w:rsid w:val="00BB7DE7"/>
    <w:rsid w:val="00BC7787"/>
    <w:rsid w:val="00BD2DDC"/>
    <w:rsid w:val="00C41EC4"/>
    <w:rsid w:val="00C860FD"/>
    <w:rsid w:val="00CB4A97"/>
    <w:rsid w:val="00D15E6F"/>
    <w:rsid w:val="00D2514E"/>
    <w:rsid w:val="00D3219A"/>
    <w:rsid w:val="00E5717C"/>
    <w:rsid w:val="00EA4C92"/>
    <w:rsid w:val="00EB40D7"/>
    <w:rsid w:val="00EC63F9"/>
    <w:rsid w:val="00F0381B"/>
    <w:rsid w:val="00F85A00"/>
    <w:rsid w:val="00FF608D"/>
    <w:rsid w:val="037F623A"/>
    <w:rsid w:val="03B82B2E"/>
    <w:rsid w:val="1088779B"/>
    <w:rsid w:val="19313089"/>
    <w:rsid w:val="1C355A10"/>
    <w:rsid w:val="22932CFF"/>
    <w:rsid w:val="2DBD44D5"/>
    <w:rsid w:val="41EB6852"/>
    <w:rsid w:val="4291694E"/>
    <w:rsid w:val="4BBE4F6C"/>
    <w:rsid w:val="4EA604F0"/>
    <w:rsid w:val="52FE6B4C"/>
    <w:rsid w:val="554A2652"/>
    <w:rsid w:val="55B23344"/>
    <w:rsid w:val="62CF55A6"/>
    <w:rsid w:val="757A1292"/>
    <w:rsid w:val="776B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uiPriority w:val="99"/>
    <w:pPr>
      <w:tabs>
        <w:tab w:val="center" w:pos="4153"/>
        <w:tab w:val="right" w:pos="8306"/>
      </w:tabs>
      <w:snapToGrid w:val="0"/>
      <w:jc w:val="left"/>
    </w:pPr>
    <w:rPr>
      <w:sz w:val="18"/>
      <w:szCs w:val="18"/>
    </w:rPr>
  </w:style>
  <w:style w:type="paragraph" w:styleId="12">
    <w:name w:val="header"/>
    <w:basedOn w:val="1"/>
    <w:link w:val="37"/>
    <w:unhideWhenUsed/>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467886" w:themeColor="hyperlink"/>
      <w:u w:val="single"/>
      <w14:textFill>
        <w14:solidFill>
          <w14:schemeClr w14:val="hlink"/>
        </w14:solidFill>
      </w14:textFill>
    </w:rPr>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明显参考1"/>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 w:type="character" w:customStyle="1" w:styleId="39">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3320</Words>
  <Characters>3621</Characters>
  <Lines>26</Lines>
  <Paragraphs>7</Paragraphs>
  <TotalTime>0</TotalTime>
  <ScaleCrop>false</ScaleCrop>
  <LinksUpToDate>false</LinksUpToDate>
  <CharactersWithSpaces>3641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2025-04-11T16:08:00Z</dcterms:created>
  <dc:creator>Administrator</dc:creator>
  <cp:lastModifiedBy>陈妍</cp:lastModifiedBy>
  <dcterms:modified xsi:type="dcterms:W3CDTF">2025-05-15T05:55:50Z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eyJoZGlkIjoiNmJlMGE4ZTE2YWY4NTc4YmE3MzFlNGVhZmI4OWZkOTciLCJ1c2VySWQiOiI1NzY0ODk0NjQifQ==</vt:lpwstr>
  </property>
  <property fmtid="{D5CDD505-2E9C-101B-9397-08002B2CF9AE}" pid="3" name="KSOProductBuildVer">
    <vt:lpwstr>2052-12.1.0.20784</vt:lpwstr>
  </property>
  <property fmtid="{D5CDD505-2E9C-101B-9397-08002B2CF9AE}" pid="4" name="ICV">
    <vt:lpwstr>243A83830F784DB9BDD265948CDC7953_12</vt:lpwstr>
  </property>
</Properties>
</file>