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DF93C">
      <w:pPr>
        <w:keepNext w:val="0"/>
        <w:keepLines w:val="0"/>
        <w:pageBreakBefore w:val="0"/>
        <w:wordWrap/>
        <w:overflowPunct/>
        <w:topLinePunct w:val="0"/>
        <w:bidi w:val="0"/>
        <w:spacing w:line="360" w:lineRule="auto"/>
        <w:jc w:val="center"/>
        <w:rPr>
          <w:rFonts w:hint="eastAsia" w:ascii="方正小标宋_GBK" w:hAnsi="方正小标宋_GBK" w:eastAsia="方正小标宋_GBK" w:cs="方正小标宋_GBK"/>
          <w:b/>
          <w:bCs/>
          <w:color w:val="000000"/>
          <w:sz w:val="40"/>
          <w:szCs w:val="40"/>
        </w:rPr>
      </w:pPr>
      <w:r>
        <w:rPr>
          <w:rFonts w:hint="eastAsia" w:ascii="方正小标宋_GBK" w:hAnsi="方正小标宋_GBK" w:eastAsia="方正小标宋_GBK" w:cs="方正小标宋_GBK"/>
          <w:b/>
          <w:bCs/>
          <w:color w:val="000000"/>
          <w:sz w:val="40"/>
          <w:szCs w:val="40"/>
        </w:rPr>
        <w:t>关于举</w:t>
      </w:r>
      <w:r>
        <w:rPr>
          <w:rFonts w:hint="eastAsia" w:ascii="方正小标宋_GBK" w:hAnsi="方正小标宋_GBK" w:eastAsia="方正小标宋_GBK" w:cs="方正小标宋_GBK"/>
          <w:b/>
          <w:bCs/>
          <w:color w:val="000000"/>
          <w:sz w:val="40"/>
          <w:szCs w:val="40"/>
          <w:lang w:val="en-US" w:eastAsia="zh-CN"/>
        </w:rPr>
        <w:t>办</w:t>
      </w:r>
      <w:r>
        <w:rPr>
          <w:rFonts w:hint="eastAsia" w:ascii="方正小标宋_GBK" w:hAnsi="方正小标宋_GBK" w:eastAsia="方正小标宋_GBK" w:cs="方正小标宋_GBK"/>
          <w:b/>
          <w:bCs/>
          <w:color w:val="000000"/>
          <w:sz w:val="40"/>
          <w:szCs w:val="40"/>
        </w:rPr>
        <w:t>2025年安徽电子信息职业技术学院财会职业技能拓展比赛的通知</w:t>
      </w:r>
    </w:p>
    <w:p w14:paraId="2B8C3A8E">
      <w:pPr>
        <w:keepNext w:val="0"/>
        <w:keepLines w:val="0"/>
        <w:pageBreakBefore w:val="0"/>
        <w:wordWrap/>
        <w:overflowPunct/>
        <w:topLinePunct w:val="0"/>
        <w:bidi w:val="0"/>
        <w:spacing w:line="360" w:lineRule="auto"/>
        <w:ind w:firstLine="560" w:firstLineChars="200"/>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为提升大数据与会计专业学生技术技能，展示大数据与会计专业教学改革成果和学生会计职业岗位通用技术、职业能力以及职业素养。根据《关于举办2025年安徽电子信息职业技术学院财会职业技能拓展大赛的通知》要求，经济管理学院决定举办2025年“财会职业技能拓展大赛”，现将有关事项通知如下：</w:t>
      </w:r>
    </w:p>
    <w:p w14:paraId="5CE9AD85">
      <w:pPr>
        <w:keepNext w:val="0"/>
        <w:keepLines w:val="0"/>
        <w:pageBreakBefore w:val="0"/>
        <w:numPr>
          <w:ilvl w:val="0"/>
          <w:numId w:val="0"/>
        </w:numPr>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bCs/>
          <w:i w:val="0"/>
          <w:iCs w:val="0"/>
          <w:caps w:val="0"/>
          <w:color w:val="auto"/>
          <w:spacing w:val="0"/>
          <w:kern w:val="2"/>
          <w:sz w:val="28"/>
          <w:szCs w:val="28"/>
          <w:shd w:val="clear" w:fill="FFFFFF"/>
          <w:lang w:val="en-US" w:eastAsia="zh-CN" w:bidi="ar-SA"/>
        </w:rPr>
        <w:t>一、</w:t>
      </w: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参赛对象</w:t>
      </w:r>
    </w:p>
    <w:p w14:paraId="12683A4F">
      <w:pPr>
        <w:keepNext w:val="0"/>
        <w:keepLines w:val="0"/>
        <w:pageBreakBefore w:val="0"/>
        <w:numPr>
          <w:ilvl w:val="0"/>
          <w:numId w:val="0"/>
        </w:numPr>
        <w:wordWrap/>
        <w:overflowPunct/>
        <w:topLinePunct w:val="0"/>
        <w:bidi w:val="0"/>
        <w:spacing w:line="360" w:lineRule="auto"/>
        <w:ind w:firstLine="560" w:firstLineChars="200"/>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大数据与会计专业2024级学生三年制、两年制，2021/2022级五年制</w:t>
      </w:r>
    </w:p>
    <w:p w14:paraId="46E7116E">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562" w:firstLineChars="200"/>
        <w:textAlignment w:val="baseline"/>
        <w:rPr>
          <w:rFonts w:hint="eastAsia" w:ascii="方正仿宋_GBK" w:hAnsi="方正仿宋_GBK" w:eastAsia="方正仿宋_GBK" w:cs="方正仿宋_GBK"/>
          <w:b/>
          <w:bCs/>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竞赛时间及地点</w:t>
      </w:r>
    </w:p>
    <w:p w14:paraId="2B3EDA6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560" w:firstLineChars="200"/>
        <w:textAlignment w:val="baseline"/>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竞赛时间：2025年5月31日-2025年6月1日</w:t>
      </w:r>
    </w:p>
    <w:p w14:paraId="7527B4B7">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560" w:firstLineChars="200"/>
        <w:textAlignment w:val="baseline"/>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竞赛地点：另行通知</w:t>
      </w:r>
    </w:p>
    <w:p w14:paraId="6F9C6452">
      <w:pPr>
        <w:keepNext w:val="0"/>
        <w:keepLines w:val="0"/>
        <w:pageBreakBefore w:val="0"/>
        <w:numPr>
          <w:ilvl w:val="0"/>
          <w:numId w:val="0"/>
        </w:numPr>
        <w:wordWrap/>
        <w:overflowPunct/>
        <w:topLinePunct w:val="0"/>
        <w:bidi w:val="0"/>
        <w:spacing w:line="360" w:lineRule="auto"/>
        <w:ind w:left="0" w:leftChars="0" w:firstLine="562" w:firstLineChars="200"/>
        <w:rPr>
          <w:rFonts w:hint="eastAsia" w:ascii="方正仿宋_GBK" w:hAnsi="方正仿宋_GBK" w:eastAsia="方正仿宋_GBK" w:cs="方正仿宋_GBK"/>
          <w:b/>
          <w:bCs/>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bCs/>
          <w:i w:val="0"/>
          <w:iCs w:val="0"/>
          <w:caps w:val="0"/>
          <w:color w:val="auto"/>
          <w:spacing w:val="0"/>
          <w:kern w:val="2"/>
          <w:sz w:val="28"/>
          <w:szCs w:val="28"/>
          <w:shd w:val="clear" w:fill="FFFFFF"/>
          <w:lang w:val="en-US" w:eastAsia="zh-CN" w:bidi="ar-SA"/>
        </w:rPr>
        <w:t>三、</w:t>
      </w: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组织方式</w:t>
      </w:r>
    </w:p>
    <w:p w14:paraId="3390D58D">
      <w:pPr>
        <w:keepNext w:val="0"/>
        <w:keepLines w:val="0"/>
        <w:pageBreakBefore w:val="0"/>
        <w:numPr>
          <w:ilvl w:val="0"/>
          <w:numId w:val="0"/>
        </w:numPr>
        <w:wordWrap/>
        <w:overflowPunct/>
        <w:topLinePunct w:val="0"/>
        <w:bidi w:val="0"/>
        <w:spacing w:line="360" w:lineRule="auto"/>
        <w:ind w:leftChars="0" w:firstLine="560" w:firstLineChars="200"/>
        <w:rPr>
          <w:rFonts w:hint="eastAsia" w:ascii="方正仿宋_GBK" w:hAnsi="方正仿宋_GBK" w:eastAsia="方正仿宋_GBK" w:cs="方正仿宋_GBK"/>
          <w:b/>
          <w:bCs/>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赛项采用个人赛形式，以一人多岗的形式担任会计主管、出纳、总账会计、成本会计4个财务岗位，并根据比赛要求完成相应的业务处理。</w:t>
      </w:r>
    </w:p>
    <w:p w14:paraId="0F9BCB10">
      <w:pPr>
        <w:keepNext w:val="0"/>
        <w:keepLines w:val="0"/>
        <w:pageBreakBefore w:val="0"/>
        <w:numPr>
          <w:ilvl w:val="0"/>
          <w:numId w:val="0"/>
        </w:numPr>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四、竞赛时长</w:t>
      </w:r>
    </w:p>
    <w:p w14:paraId="4DA2EFB8">
      <w:pPr>
        <w:keepNext w:val="0"/>
        <w:keepLines w:val="0"/>
        <w:pageBreakBefore w:val="0"/>
        <w:numPr>
          <w:ilvl w:val="0"/>
          <w:numId w:val="0"/>
        </w:numPr>
        <w:wordWrap/>
        <w:overflowPunct/>
        <w:topLinePunct w:val="0"/>
        <w:bidi w:val="0"/>
        <w:spacing w:line="360" w:lineRule="auto"/>
        <w:ind w:leftChars="0" w:firstLine="560" w:firstLineChars="200"/>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竞赛总时长为180分钟。</w:t>
      </w:r>
    </w:p>
    <w:p w14:paraId="6990D3C2">
      <w:pPr>
        <w:pStyle w:val="4"/>
        <w:keepNext w:val="0"/>
        <w:keepLines w:val="0"/>
        <w:pageBreakBefore w:val="0"/>
        <w:numPr>
          <w:ilvl w:val="0"/>
          <w:numId w:val="0"/>
        </w:numPr>
        <w:wordWrap/>
        <w:overflowPunct/>
        <w:topLinePunct w:val="0"/>
        <w:bidi w:val="0"/>
        <w:spacing w:line="360" w:lineRule="auto"/>
        <w:ind w:left="0" w:leftChars="0" w:firstLine="562" w:firstLineChars="200"/>
        <w:rPr>
          <w:rFonts w:hint="eastAsia" w:ascii="方正仿宋_GBK" w:hAnsi="方正仿宋_GBK" w:eastAsia="方正仿宋_GBK" w:cs="方正仿宋_GBK"/>
          <w:b/>
          <w:bCs/>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bCs/>
          <w:i w:val="0"/>
          <w:iCs w:val="0"/>
          <w:caps w:val="0"/>
          <w:snapToGrid w:val="0"/>
          <w:color w:val="auto"/>
          <w:spacing w:val="0"/>
          <w:kern w:val="0"/>
          <w:sz w:val="28"/>
          <w:szCs w:val="28"/>
          <w:shd w:val="clear" w:fill="FFFFFF"/>
          <w:lang w:val="en-US" w:eastAsia="zh-CN" w:bidi="ar-SA"/>
        </w:rPr>
        <w:t>五、</w:t>
      </w: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竞赛内容</w:t>
      </w:r>
    </w:p>
    <w:p w14:paraId="79412310">
      <w:pPr>
        <w:pStyle w:val="4"/>
        <w:keepNext w:val="0"/>
        <w:keepLines w:val="0"/>
        <w:pageBreakBefore w:val="0"/>
        <w:numPr>
          <w:ilvl w:val="0"/>
          <w:numId w:val="0"/>
        </w:numPr>
        <w:wordWrap/>
        <w:overflowPunct/>
        <w:topLinePunct w:val="0"/>
        <w:bidi w:val="0"/>
        <w:spacing w:line="360" w:lineRule="auto"/>
        <w:ind w:leftChars="0" w:firstLine="560" w:firstLineChars="200"/>
        <w:rPr>
          <w:rFonts w:hint="eastAsia" w:ascii="方正仿宋_GBK" w:hAnsi="方正仿宋_GBK" w:eastAsia="方正仿宋_GBK" w:cs="方正仿宋_GBK"/>
          <w:b w:val="0"/>
          <w:bCs w:val="0"/>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val="0"/>
          <w:bCs w:val="0"/>
          <w:i w:val="0"/>
          <w:iCs w:val="0"/>
          <w:caps w:val="0"/>
          <w:snapToGrid/>
          <w:color w:val="auto"/>
          <w:spacing w:val="0"/>
          <w:kern w:val="2"/>
          <w:sz w:val="28"/>
          <w:szCs w:val="28"/>
          <w:shd w:val="clear" w:fill="FFFFFF"/>
          <w:lang w:val="en-US" w:eastAsia="zh-CN" w:bidi="ar-SA"/>
        </w:rPr>
        <w:t>案例模拟一家中型制造企业某月1日-15日的完整经济业务，会计核算依据《企业会计准则》和现行税法，四个岗位协同完成约20笔业务。竞赛平台涉及的工作系统模块有10个，主要包括：信息中心、业务协同、会计信息化、网上银行、保险柜、出纳账、开票系统、电子税务局、自然人税收管理系统、增值税发票综合服务平台。</w:t>
      </w:r>
    </w:p>
    <w:p w14:paraId="25F066E0">
      <w:pPr>
        <w:pStyle w:val="4"/>
        <w:keepNext w:val="0"/>
        <w:keepLines w:val="0"/>
        <w:pageBreakBefore w:val="0"/>
        <w:numPr>
          <w:ilvl w:val="0"/>
          <w:numId w:val="0"/>
        </w:numPr>
        <w:tabs>
          <w:tab w:val="left" w:pos="208"/>
        </w:tabs>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t>六、评分标准</w:t>
      </w:r>
    </w:p>
    <w:p w14:paraId="315DDA68">
      <w:pPr>
        <w:pStyle w:val="4"/>
        <w:keepNext w:val="0"/>
        <w:keepLines w:val="0"/>
        <w:pageBreakBefore w:val="0"/>
        <w:numPr>
          <w:ilvl w:val="0"/>
          <w:numId w:val="0"/>
        </w:numPr>
        <w:wordWrap/>
        <w:overflowPunct/>
        <w:topLinePunct w:val="0"/>
        <w:bidi w:val="0"/>
        <w:spacing w:line="360" w:lineRule="auto"/>
        <w:ind w:firstLine="560" w:firstLineChars="200"/>
        <w:rPr>
          <w:rFonts w:hint="eastAsia" w:ascii="方正仿宋_GBK" w:hAnsi="方正仿宋_GBK" w:eastAsia="方正仿宋_GBK" w:cs="方正仿宋_GBK"/>
          <w:b w:val="0"/>
          <w:bCs w:val="0"/>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val="0"/>
          <w:bCs w:val="0"/>
          <w:i w:val="0"/>
          <w:iCs w:val="0"/>
          <w:caps w:val="0"/>
          <w:snapToGrid/>
          <w:color w:val="auto"/>
          <w:spacing w:val="0"/>
          <w:kern w:val="2"/>
          <w:sz w:val="28"/>
          <w:szCs w:val="28"/>
          <w:shd w:val="clear" w:fill="FFFFFF"/>
          <w:lang w:val="en-US" w:eastAsia="zh-CN" w:bidi="ar-SA"/>
        </w:rPr>
        <w:t>总分400分，参赛学生最终成绩保留两位小数，如参赛学生最终成绩总分相同，以会计主管岗位成绩高的排名在前。</w:t>
      </w:r>
    </w:p>
    <w:p w14:paraId="22E1D543">
      <w:pPr>
        <w:pStyle w:val="4"/>
        <w:keepNext w:val="0"/>
        <w:keepLines w:val="0"/>
        <w:pageBreakBefore w:val="0"/>
        <w:numPr>
          <w:ilvl w:val="0"/>
          <w:numId w:val="0"/>
        </w:numPr>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t>七、竞赛流程</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3650"/>
        <w:gridCol w:w="2405"/>
      </w:tblGrid>
      <w:tr w14:paraId="68F9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Merge w:val="restart"/>
            <w:vAlign w:val="center"/>
          </w:tcPr>
          <w:p w14:paraId="7E15E1F7">
            <w:pPr>
              <w:keepNext w:val="0"/>
              <w:keepLines w:val="0"/>
              <w:pageBreakBefore w:val="0"/>
              <w:wordWrap/>
              <w:overflowPunct/>
              <w:topLinePunct w:val="0"/>
              <w:bidi w:val="0"/>
              <w:spacing w:line="360" w:lineRule="auto"/>
              <w:jc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5月31日/6月1日</w:t>
            </w:r>
          </w:p>
        </w:tc>
        <w:tc>
          <w:tcPr>
            <w:tcW w:w="3650" w:type="dxa"/>
            <w:vAlign w:val="center"/>
          </w:tcPr>
          <w:p w14:paraId="6BEE31F5">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选手检录</w:t>
            </w:r>
          </w:p>
        </w:tc>
        <w:tc>
          <w:tcPr>
            <w:tcW w:w="2405" w:type="dxa"/>
            <w:vAlign w:val="center"/>
          </w:tcPr>
          <w:p w14:paraId="28A48161">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08:30—09:00</w:t>
            </w:r>
          </w:p>
        </w:tc>
      </w:tr>
      <w:tr w14:paraId="439C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592" w:type="dxa"/>
            <w:vMerge w:val="continue"/>
            <w:vAlign w:val="center"/>
          </w:tcPr>
          <w:p w14:paraId="6978CFC1">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p>
        </w:tc>
        <w:tc>
          <w:tcPr>
            <w:tcW w:w="3650" w:type="dxa"/>
            <w:vAlign w:val="center"/>
          </w:tcPr>
          <w:p w14:paraId="365A61AB">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财会职业技能拓展赛项竞赛</w:t>
            </w:r>
          </w:p>
        </w:tc>
        <w:tc>
          <w:tcPr>
            <w:tcW w:w="2405" w:type="dxa"/>
            <w:vAlign w:val="center"/>
          </w:tcPr>
          <w:p w14:paraId="6271EEB4">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09:00—12:00</w:t>
            </w:r>
          </w:p>
        </w:tc>
      </w:tr>
      <w:tr w14:paraId="5C01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592" w:type="dxa"/>
            <w:vMerge w:val="continue"/>
            <w:vAlign w:val="center"/>
          </w:tcPr>
          <w:p w14:paraId="5FC8AE21">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p>
        </w:tc>
        <w:tc>
          <w:tcPr>
            <w:tcW w:w="3650" w:type="dxa"/>
            <w:vAlign w:val="center"/>
          </w:tcPr>
          <w:p w14:paraId="51E4D73D">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公布成绩</w:t>
            </w:r>
          </w:p>
        </w:tc>
        <w:tc>
          <w:tcPr>
            <w:tcW w:w="2405" w:type="dxa"/>
            <w:vAlign w:val="center"/>
          </w:tcPr>
          <w:p w14:paraId="1DBEFA96">
            <w:pPr>
              <w:keepNext w:val="0"/>
              <w:keepLines w:val="0"/>
              <w:pageBreakBefore w:val="0"/>
              <w:wordWrap/>
              <w:overflowPunct/>
              <w:topLinePunct w:val="0"/>
              <w:bidi w:val="0"/>
              <w:spacing w:line="360" w:lineRule="auto"/>
              <w:ind w:firstLine="480" w:firstLineChars="20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14:00—14:30</w:t>
            </w:r>
          </w:p>
        </w:tc>
      </w:tr>
    </w:tbl>
    <w:p w14:paraId="6AE58E22">
      <w:pPr>
        <w:pStyle w:val="4"/>
        <w:keepNext w:val="0"/>
        <w:keepLines w:val="0"/>
        <w:pageBreakBefore w:val="0"/>
        <w:numPr>
          <w:ilvl w:val="0"/>
          <w:numId w:val="0"/>
        </w:numPr>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t>八、奖项设置</w:t>
      </w:r>
    </w:p>
    <w:p w14:paraId="53701AF2">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本次竞赛设一等奖、二等奖、三等奖若干名，由</w:t>
      </w:r>
      <w:r>
        <w:rPr>
          <w:rFonts w:hint="eastAsia" w:ascii="仿宋" w:hAnsi="仿宋" w:eastAsia="仿宋" w:cs="仿宋"/>
          <w:sz w:val="28"/>
          <w:szCs w:val="36"/>
          <w:lang w:val="en-US" w:eastAsia="zh-CN"/>
        </w:rPr>
        <w:t>基础部</w:t>
      </w:r>
      <w:r>
        <w:rPr>
          <w:rFonts w:hint="eastAsia" w:ascii="仿宋" w:hAnsi="仿宋" w:eastAsia="仿宋" w:cs="仿宋"/>
          <w:sz w:val="28"/>
          <w:szCs w:val="36"/>
        </w:rPr>
        <w:t>颁发获奖证书和奖励。奖项设定《安徽电子信息职业技术学院大学生学科与技能竞赛管理办法（试行）》（院办〔2022〕39号）。</w:t>
      </w:r>
    </w:p>
    <w:p w14:paraId="6B56497D">
      <w:pPr>
        <w:pStyle w:val="4"/>
        <w:keepNext w:val="0"/>
        <w:keepLines w:val="0"/>
        <w:pageBreakBefore w:val="0"/>
        <w:numPr>
          <w:ilvl w:val="0"/>
          <w:numId w:val="0"/>
        </w:numPr>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pPr>
      <w:bookmarkStart w:id="4" w:name="_GoBack"/>
      <w:bookmarkEnd w:id="4"/>
      <w:r>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t>九、其他事项</w:t>
      </w:r>
    </w:p>
    <w:p w14:paraId="2697BA80">
      <w:pPr>
        <w:pStyle w:val="4"/>
        <w:keepNext w:val="0"/>
        <w:keepLines w:val="0"/>
        <w:pageBreakBefore w:val="0"/>
        <w:numPr>
          <w:ilvl w:val="0"/>
          <w:numId w:val="0"/>
        </w:numPr>
        <w:wordWrap/>
        <w:overflowPunct/>
        <w:topLinePunct w:val="0"/>
        <w:bidi w:val="0"/>
        <w:spacing w:line="360" w:lineRule="auto"/>
        <w:ind w:firstLine="562" w:firstLineChars="200"/>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bCs/>
          <w:i w:val="0"/>
          <w:iCs w:val="0"/>
          <w:caps w:val="0"/>
          <w:snapToGrid/>
          <w:color w:val="auto"/>
          <w:spacing w:val="0"/>
          <w:kern w:val="2"/>
          <w:sz w:val="28"/>
          <w:szCs w:val="28"/>
          <w:shd w:val="clear" w:fill="FFFFFF"/>
          <w:lang w:val="en-US" w:eastAsia="zh-CN" w:bidi="ar-SA"/>
        </w:rPr>
        <w:t>在5月12日之前将参赛报名表（附件1）发至550883777@qq.com邮箱（备注班级+学生姓名）</w:t>
      </w:r>
    </w:p>
    <w:p w14:paraId="414DC7D5">
      <w:pPr>
        <w:pStyle w:val="4"/>
        <w:keepNext w:val="0"/>
        <w:keepLines w:val="0"/>
        <w:pageBreakBefore w:val="0"/>
        <w:numPr>
          <w:ilvl w:val="0"/>
          <w:numId w:val="0"/>
        </w:numPr>
        <w:wordWrap/>
        <w:overflowPunct/>
        <w:topLinePunct w:val="0"/>
        <w:bidi w:val="0"/>
        <w:spacing w:line="360" w:lineRule="auto"/>
        <w:ind w:firstLine="560" w:firstLineChars="200"/>
        <w:rPr>
          <w:rFonts w:hint="eastAsia" w:ascii="方正仿宋_GBK" w:hAnsi="方正仿宋_GBK" w:eastAsia="方正仿宋_GBK" w:cs="方正仿宋_GBK"/>
          <w:b w:val="0"/>
          <w:bCs w:val="0"/>
          <w:i w:val="0"/>
          <w:iCs w:val="0"/>
          <w:caps w:val="0"/>
          <w:snapToGrid/>
          <w:color w:val="auto"/>
          <w:spacing w:val="0"/>
          <w:kern w:val="2"/>
          <w:sz w:val="28"/>
          <w:szCs w:val="28"/>
          <w:shd w:val="clear" w:fill="FFFFFF"/>
          <w:lang w:val="en-US" w:eastAsia="zh-CN" w:bidi="ar-SA"/>
        </w:rPr>
      </w:pPr>
      <w:r>
        <w:rPr>
          <w:rFonts w:hint="eastAsia" w:ascii="方正仿宋_GBK" w:hAnsi="方正仿宋_GBK" w:eastAsia="方正仿宋_GBK" w:cs="方正仿宋_GBK"/>
          <w:b w:val="0"/>
          <w:bCs w:val="0"/>
          <w:i w:val="0"/>
          <w:iCs w:val="0"/>
          <w:caps w:val="0"/>
          <w:snapToGrid/>
          <w:color w:val="auto"/>
          <w:spacing w:val="0"/>
          <w:kern w:val="2"/>
          <w:sz w:val="28"/>
          <w:szCs w:val="28"/>
          <w:shd w:val="clear" w:fill="FFFFFF"/>
          <w:lang w:val="en-US" w:eastAsia="zh-CN" w:bidi="ar-SA"/>
        </w:rPr>
        <w:t>竞赛的具体事宜请参看附件2竞赛规程，赛前模拟练习时间、比赛正式时间、参赛选手的场次安排以及比赛须知待参赛小组确定后另行通知。希望参赛选手积极认真准备，力争优异成绩。其它未尽事宜，另行通知。</w:t>
      </w:r>
    </w:p>
    <w:p w14:paraId="5C16C21F">
      <w:pPr>
        <w:pStyle w:val="4"/>
        <w:keepNext w:val="0"/>
        <w:keepLines w:val="0"/>
        <w:pageBreakBefore w:val="0"/>
        <w:numPr>
          <w:ilvl w:val="0"/>
          <w:numId w:val="0"/>
        </w:numPr>
        <w:wordWrap/>
        <w:overflowPunct/>
        <w:topLinePunct w:val="0"/>
        <w:bidi w:val="0"/>
        <w:spacing w:line="360" w:lineRule="auto"/>
        <w:ind w:firstLine="560" w:firstLineChars="200"/>
        <w:rPr>
          <w:rFonts w:hint="default" w:ascii="宋体" w:hAnsi="宋体" w:eastAsia="宋体" w:cs="宋体"/>
          <w:b w:val="0"/>
          <w:bCs w:val="0"/>
          <w:i w:val="0"/>
          <w:iCs w:val="0"/>
          <w:caps w:val="0"/>
          <w:snapToGrid/>
          <w:color w:val="auto"/>
          <w:spacing w:val="0"/>
          <w:kern w:val="2"/>
          <w:sz w:val="28"/>
          <w:szCs w:val="28"/>
          <w:shd w:val="clear" w:fill="FFFFFF"/>
          <w:lang w:val="en-US" w:eastAsia="zh-CN" w:bidi="ar-SA"/>
        </w:rPr>
      </w:pPr>
    </w:p>
    <w:p w14:paraId="6A980D51">
      <w:pPr>
        <w:pStyle w:val="4"/>
        <w:keepNext w:val="0"/>
        <w:keepLines w:val="0"/>
        <w:pageBreakBefore w:val="0"/>
        <w:numPr>
          <w:ilvl w:val="0"/>
          <w:numId w:val="0"/>
        </w:numPr>
        <w:wordWrap/>
        <w:overflowPunct/>
        <w:topLinePunct w:val="0"/>
        <w:bidi w:val="0"/>
        <w:spacing w:line="360" w:lineRule="auto"/>
        <w:ind w:firstLine="560" w:firstLineChars="200"/>
        <w:rPr>
          <w:rFonts w:hint="default" w:ascii="宋体" w:hAnsi="宋体" w:eastAsia="宋体" w:cs="宋体"/>
          <w:b w:val="0"/>
          <w:bCs w:val="0"/>
          <w:i w:val="0"/>
          <w:iCs w:val="0"/>
          <w:caps w:val="0"/>
          <w:snapToGrid/>
          <w:color w:val="auto"/>
          <w:spacing w:val="0"/>
          <w:kern w:val="2"/>
          <w:sz w:val="28"/>
          <w:szCs w:val="28"/>
          <w:shd w:val="clear" w:fill="FFFFFF"/>
          <w:lang w:val="en-US" w:eastAsia="zh-CN" w:bidi="ar-SA"/>
        </w:rPr>
      </w:pPr>
    </w:p>
    <w:p w14:paraId="0FEF48AB">
      <w:pPr>
        <w:pStyle w:val="4"/>
        <w:keepNext w:val="0"/>
        <w:keepLines w:val="0"/>
        <w:pageBreakBefore w:val="0"/>
        <w:numPr>
          <w:ilvl w:val="0"/>
          <w:numId w:val="0"/>
        </w:numPr>
        <w:wordWrap/>
        <w:overflowPunct/>
        <w:topLinePunct w:val="0"/>
        <w:bidi w:val="0"/>
        <w:ind w:leftChars="0" w:firstLine="520" w:firstLineChars="200"/>
        <w:rPr>
          <w:rFonts w:hint="default" w:ascii="宋体" w:hAnsi="宋体" w:eastAsia="宋体" w:cs="宋体"/>
          <w:b w:val="0"/>
          <w:bCs w:val="0"/>
          <w:i w:val="0"/>
          <w:iCs w:val="0"/>
          <w:caps w:val="0"/>
          <w:color w:val="auto"/>
          <w:spacing w:val="0"/>
          <w:sz w:val="26"/>
          <w:szCs w:val="26"/>
          <w:shd w:val="clear" w:fill="FFFFFF"/>
          <w:lang w:val="en-US" w:eastAsia="zh-CN"/>
        </w:rPr>
      </w:pPr>
    </w:p>
    <w:p w14:paraId="5EFF79C7">
      <w:pPr>
        <w:keepNext w:val="0"/>
        <w:keepLines w:val="0"/>
        <w:pageBreakBefore w:val="0"/>
        <w:numPr>
          <w:ilvl w:val="0"/>
          <w:numId w:val="0"/>
        </w:numPr>
        <w:wordWrap/>
        <w:overflowPunct/>
        <w:topLinePunct w:val="0"/>
        <w:bidi w:val="0"/>
        <w:ind w:leftChars="0" w:firstLine="520" w:firstLineChars="200"/>
        <w:rPr>
          <w:rFonts w:hint="default" w:ascii="宋体" w:hAnsi="宋体" w:eastAsia="宋体" w:cs="宋体"/>
          <w:b w:val="0"/>
          <w:bCs w:val="0"/>
          <w:i w:val="0"/>
          <w:iCs w:val="0"/>
          <w:caps w:val="0"/>
          <w:color w:val="auto"/>
          <w:spacing w:val="0"/>
          <w:sz w:val="26"/>
          <w:szCs w:val="26"/>
          <w:shd w:val="clear" w:fill="FFFFFF"/>
          <w:lang w:val="en-US" w:eastAsia="zh-CN"/>
        </w:rPr>
      </w:pPr>
    </w:p>
    <w:p w14:paraId="0476C8A7">
      <w:pPr>
        <w:pStyle w:val="4"/>
        <w:ind w:left="0" w:leftChars="0" w:firstLine="0" w:firstLineChars="0"/>
        <w:rPr>
          <w:rFonts w:hint="eastAsia"/>
          <w:lang w:val="en-US" w:eastAsia="zh-CN"/>
        </w:rPr>
      </w:pPr>
      <w:r>
        <w:rPr>
          <w:rFonts w:hint="eastAsia"/>
          <w:lang w:val="en-US" w:eastAsia="zh-CN"/>
        </w:rPr>
        <w:t>附件1</w:t>
      </w:r>
    </w:p>
    <w:tbl>
      <w:tblPr>
        <w:tblStyle w:val="5"/>
        <w:tblW w:w="5933" w:type="pct"/>
        <w:tblInd w:w="-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737"/>
        <w:gridCol w:w="1425"/>
        <w:gridCol w:w="1700"/>
        <w:gridCol w:w="1325"/>
        <w:gridCol w:w="888"/>
        <w:gridCol w:w="2250"/>
      </w:tblGrid>
      <w:tr w14:paraId="5661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71A10A">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kern w:val="0"/>
                <w:sz w:val="28"/>
                <w:szCs w:val="28"/>
                <w:u w:val="none"/>
                <w:lang w:val="en-US" w:eastAsia="zh-CN" w:bidi="ar"/>
              </w:rPr>
            </w:pPr>
            <w:r>
              <w:rPr>
                <w:rFonts w:hint="eastAsia" w:ascii="方正小标宋_GBK" w:hAnsi="方正小标宋_GBK" w:eastAsia="方正小标宋_GBK" w:cs="方正小标宋_GBK"/>
                <w:b/>
                <w:bCs/>
                <w:i w:val="0"/>
                <w:iCs w:val="0"/>
                <w:color w:val="000000"/>
                <w:kern w:val="0"/>
                <w:sz w:val="28"/>
                <w:szCs w:val="28"/>
                <w:u w:val="none"/>
                <w:lang w:val="en-US" w:eastAsia="zh-CN" w:bidi="ar"/>
              </w:rPr>
              <w:t>2025年安徽电子信息职业技术学院</w:t>
            </w:r>
          </w:p>
          <w:p w14:paraId="09515462">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r>
              <w:rPr>
                <w:rFonts w:hint="eastAsia" w:ascii="方正小标宋_GBK" w:hAnsi="方正小标宋_GBK" w:eastAsia="方正小标宋_GBK" w:cs="方正小标宋_GBK"/>
                <w:b/>
                <w:bCs/>
                <w:i w:val="0"/>
                <w:iCs w:val="0"/>
                <w:color w:val="000000"/>
                <w:kern w:val="0"/>
                <w:sz w:val="28"/>
                <w:szCs w:val="28"/>
                <w:u w:val="none"/>
                <w:lang w:val="en-US" w:eastAsia="zh-CN" w:bidi="ar"/>
              </w:rPr>
              <w:t>“财会职业技能拓展”赛项报名表</w:t>
            </w:r>
          </w:p>
        </w:tc>
      </w:tr>
      <w:tr w14:paraId="16BC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44F8">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4A1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学院</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34D3">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班级</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98C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学号</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6744">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C8A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774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邮箱</w:t>
            </w:r>
          </w:p>
        </w:tc>
      </w:tr>
      <w:tr w14:paraId="6329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58B">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B05B">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8836">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4ECD">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AC93">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C211">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64E">
            <w:pPr>
              <w:rPr>
                <w:rFonts w:hint="eastAsia" w:ascii="宋体" w:hAnsi="宋体" w:eastAsia="宋体" w:cs="宋体"/>
                <w:i w:val="0"/>
                <w:iCs w:val="0"/>
                <w:color w:val="000000"/>
                <w:sz w:val="24"/>
                <w:szCs w:val="24"/>
                <w:u w:val="none"/>
              </w:rPr>
            </w:pPr>
          </w:p>
        </w:tc>
      </w:tr>
      <w:tr w14:paraId="2426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443D">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047F">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8A22">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61E8">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5BB9">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ABEC">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F255">
            <w:pPr>
              <w:rPr>
                <w:rFonts w:hint="eastAsia" w:ascii="宋体" w:hAnsi="宋体" w:eastAsia="宋体" w:cs="宋体"/>
                <w:i w:val="0"/>
                <w:iCs w:val="0"/>
                <w:color w:val="000000"/>
                <w:sz w:val="24"/>
                <w:szCs w:val="24"/>
                <w:u w:val="none"/>
              </w:rPr>
            </w:pPr>
          </w:p>
        </w:tc>
      </w:tr>
      <w:tr w14:paraId="3252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DBE8">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968">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B987">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086E">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064C">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A65C">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A2FE">
            <w:pPr>
              <w:rPr>
                <w:rFonts w:hint="eastAsia" w:ascii="宋体" w:hAnsi="宋体" w:eastAsia="宋体" w:cs="宋体"/>
                <w:i w:val="0"/>
                <w:iCs w:val="0"/>
                <w:color w:val="000000"/>
                <w:sz w:val="24"/>
                <w:szCs w:val="24"/>
                <w:u w:val="none"/>
              </w:rPr>
            </w:pPr>
          </w:p>
        </w:tc>
      </w:tr>
      <w:tr w14:paraId="1010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05C1">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787A">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E189">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ED9">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6737">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E5E8">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A291">
            <w:pPr>
              <w:rPr>
                <w:rFonts w:hint="eastAsia" w:ascii="宋体" w:hAnsi="宋体" w:eastAsia="宋体" w:cs="宋体"/>
                <w:i w:val="0"/>
                <w:iCs w:val="0"/>
                <w:color w:val="000000"/>
                <w:sz w:val="24"/>
                <w:szCs w:val="24"/>
                <w:u w:val="none"/>
              </w:rPr>
            </w:pPr>
          </w:p>
        </w:tc>
      </w:tr>
      <w:tr w14:paraId="64AC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8AA2">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B2C9">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77F">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B10D">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3BCE">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C151">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641">
            <w:pPr>
              <w:rPr>
                <w:rFonts w:hint="eastAsia" w:ascii="宋体" w:hAnsi="宋体" w:eastAsia="宋体" w:cs="宋体"/>
                <w:i w:val="0"/>
                <w:iCs w:val="0"/>
                <w:color w:val="000000"/>
                <w:sz w:val="24"/>
                <w:szCs w:val="24"/>
                <w:u w:val="none"/>
              </w:rPr>
            </w:pPr>
          </w:p>
        </w:tc>
      </w:tr>
      <w:tr w14:paraId="4C33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C8E3">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9D05">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21A9">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EE0">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657A">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3C44">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6605">
            <w:pPr>
              <w:rPr>
                <w:rFonts w:hint="eastAsia" w:ascii="宋体" w:hAnsi="宋体" w:eastAsia="宋体" w:cs="宋体"/>
                <w:i w:val="0"/>
                <w:iCs w:val="0"/>
                <w:color w:val="000000"/>
                <w:sz w:val="24"/>
                <w:szCs w:val="24"/>
                <w:u w:val="none"/>
              </w:rPr>
            </w:pPr>
          </w:p>
        </w:tc>
      </w:tr>
      <w:tr w14:paraId="3CBA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2E23">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3FAE">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B37D">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9A30">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A8A7">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7F8">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FD6">
            <w:pPr>
              <w:rPr>
                <w:rFonts w:hint="eastAsia" w:ascii="宋体" w:hAnsi="宋体" w:eastAsia="宋体" w:cs="宋体"/>
                <w:i w:val="0"/>
                <w:iCs w:val="0"/>
                <w:color w:val="000000"/>
                <w:sz w:val="24"/>
                <w:szCs w:val="24"/>
                <w:u w:val="none"/>
              </w:rPr>
            </w:pPr>
          </w:p>
        </w:tc>
      </w:tr>
      <w:tr w14:paraId="4984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ECBD">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FDD">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2380">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7D2F">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1B45">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D1FC">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0B27">
            <w:pPr>
              <w:rPr>
                <w:rFonts w:hint="eastAsia" w:ascii="宋体" w:hAnsi="宋体" w:eastAsia="宋体" w:cs="宋体"/>
                <w:i w:val="0"/>
                <w:iCs w:val="0"/>
                <w:color w:val="000000"/>
                <w:sz w:val="24"/>
                <w:szCs w:val="24"/>
                <w:u w:val="none"/>
              </w:rPr>
            </w:pPr>
          </w:p>
        </w:tc>
      </w:tr>
      <w:tr w14:paraId="3A89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E3B">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955C">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68E6">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0DF1">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917C">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A860">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E36D">
            <w:pPr>
              <w:rPr>
                <w:rFonts w:hint="eastAsia" w:ascii="宋体" w:hAnsi="宋体" w:eastAsia="宋体" w:cs="宋体"/>
                <w:i w:val="0"/>
                <w:iCs w:val="0"/>
                <w:color w:val="000000"/>
                <w:sz w:val="24"/>
                <w:szCs w:val="24"/>
                <w:u w:val="none"/>
              </w:rPr>
            </w:pPr>
          </w:p>
        </w:tc>
      </w:tr>
      <w:tr w14:paraId="37D8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F695">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9C6A">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2A68">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D840">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5E98">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9111">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9F14">
            <w:pPr>
              <w:rPr>
                <w:rFonts w:hint="eastAsia" w:ascii="宋体" w:hAnsi="宋体" w:eastAsia="宋体" w:cs="宋体"/>
                <w:i w:val="0"/>
                <w:iCs w:val="0"/>
                <w:color w:val="000000"/>
                <w:sz w:val="24"/>
                <w:szCs w:val="24"/>
                <w:u w:val="none"/>
              </w:rPr>
            </w:pPr>
          </w:p>
        </w:tc>
      </w:tr>
      <w:tr w14:paraId="6342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3DCB">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BAFB">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EDF">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4EF0">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249">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662B">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7F8B">
            <w:pPr>
              <w:rPr>
                <w:rFonts w:hint="eastAsia" w:ascii="宋体" w:hAnsi="宋体" w:eastAsia="宋体" w:cs="宋体"/>
                <w:i w:val="0"/>
                <w:iCs w:val="0"/>
                <w:color w:val="000000"/>
                <w:sz w:val="24"/>
                <w:szCs w:val="24"/>
                <w:u w:val="none"/>
              </w:rPr>
            </w:pPr>
          </w:p>
        </w:tc>
      </w:tr>
      <w:tr w14:paraId="6816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86E7">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CEC2">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3756">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A02A">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0427">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58E0">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C448">
            <w:pPr>
              <w:rPr>
                <w:rFonts w:hint="eastAsia" w:ascii="宋体" w:hAnsi="宋体" w:eastAsia="宋体" w:cs="宋体"/>
                <w:i w:val="0"/>
                <w:iCs w:val="0"/>
                <w:color w:val="000000"/>
                <w:sz w:val="24"/>
                <w:szCs w:val="24"/>
                <w:u w:val="none"/>
              </w:rPr>
            </w:pPr>
          </w:p>
        </w:tc>
      </w:tr>
      <w:tr w14:paraId="48B6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C0A0">
            <w:pPr>
              <w:rPr>
                <w:rFonts w:hint="eastAsia" w:ascii="宋体" w:hAnsi="宋体" w:eastAsia="宋体" w:cs="宋体"/>
                <w:i w:val="0"/>
                <w:iCs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BF1D">
            <w:pPr>
              <w:rPr>
                <w:rFonts w:hint="eastAsia" w:ascii="宋体" w:hAnsi="宋体" w:eastAsia="宋体" w:cs="宋体"/>
                <w:i w:val="0"/>
                <w:iCs w:val="0"/>
                <w:color w:val="000000"/>
                <w:sz w:val="24"/>
                <w:szCs w:val="24"/>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1436">
            <w:pPr>
              <w:rPr>
                <w:rFonts w:hint="eastAsia" w:ascii="宋体" w:hAnsi="宋体" w:eastAsia="宋体" w:cs="宋体"/>
                <w:i w:val="0"/>
                <w:iCs w:val="0"/>
                <w:color w:val="000000"/>
                <w:sz w:val="24"/>
                <w:szCs w:val="24"/>
                <w:u w:val="none"/>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C603">
            <w:pP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E05E">
            <w:pPr>
              <w:rPr>
                <w:rFonts w:hint="eastAsia" w:ascii="宋体" w:hAnsi="宋体" w:eastAsia="宋体" w:cs="宋体"/>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635C">
            <w:pPr>
              <w:rPr>
                <w:rFonts w:hint="eastAsia" w:ascii="宋体" w:hAnsi="宋体" w:eastAsia="宋体" w:cs="宋体"/>
                <w:i w:val="0"/>
                <w:iCs w:val="0"/>
                <w:color w:val="000000"/>
                <w:sz w:val="24"/>
                <w:szCs w:val="24"/>
                <w:u w:val="none"/>
              </w:rPr>
            </w:pPr>
          </w:p>
        </w:tc>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D76">
            <w:pPr>
              <w:rPr>
                <w:rFonts w:hint="eastAsia" w:ascii="宋体" w:hAnsi="宋体" w:eastAsia="宋体" w:cs="宋体"/>
                <w:i w:val="0"/>
                <w:iCs w:val="0"/>
                <w:color w:val="000000"/>
                <w:sz w:val="24"/>
                <w:szCs w:val="24"/>
                <w:u w:val="none"/>
              </w:rPr>
            </w:pPr>
          </w:p>
        </w:tc>
      </w:tr>
    </w:tbl>
    <w:p w14:paraId="7A57BBCA">
      <w:pPr>
        <w:pStyle w:val="4"/>
        <w:ind w:left="0" w:leftChars="0" w:firstLine="0" w:firstLineChars="0"/>
        <w:rPr>
          <w:rFonts w:hint="default"/>
          <w:lang w:val="en-US" w:eastAsia="zh-CN"/>
        </w:rPr>
      </w:pPr>
    </w:p>
    <w:p w14:paraId="68A2705C">
      <w:pPr>
        <w:pStyle w:val="4"/>
        <w:ind w:left="0" w:leftChars="0" w:firstLine="0" w:firstLineChars="0"/>
        <w:rPr>
          <w:rFonts w:hint="default"/>
          <w:lang w:val="en-US" w:eastAsia="zh-CN"/>
        </w:rPr>
      </w:pPr>
    </w:p>
    <w:p w14:paraId="7DDC33ED">
      <w:pPr>
        <w:pStyle w:val="4"/>
        <w:ind w:left="0" w:leftChars="0" w:firstLine="0" w:firstLineChars="0"/>
        <w:rPr>
          <w:rFonts w:hint="default"/>
          <w:lang w:val="en-US" w:eastAsia="zh-CN"/>
        </w:rPr>
      </w:pPr>
    </w:p>
    <w:p w14:paraId="2D9AC2EA">
      <w:pPr>
        <w:pStyle w:val="4"/>
        <w:ind w:left="0" w:leftChars="0" w:firstLine="0" w:firstLineChars="0"/>
        <w:rPr>
          <w:rFonts w:hint="default"/>
          <w:lang w:val="en-US" w:eastAsia="zh-CN"/>
        </w:rPr>
      </w:pPr>
    </w:p>
    <w:p w14:paraId="0A6FFC7C">
      <w:pPr>
        <w:pStyle w:val="4"/>
        <w:ind w:left="0" w:leftChars="0" w:firstLine="0" w:firstLineChars="0"/>
        <w:rPr>
          <w:rFonts w:hint="default"/>
          <w:lang w:val="en-US" w:eastAsia="zh-CN"/>
        </w:rPr>
      </w:pPr>
    </w:p>
    <w:p w14:paraId="44063E17">
      <w:pPr>
        <w:pStyle w:val="4"/>
        <w:ind w:left="0" w:leftChars="0" w:firstLine="0" w:firstLineChars="0"/>
        <w:rPr>
          <w:rFonts w:hint="default"/>
          <w:lang w:val="en-US" w:eastAsia="zh-CN"/>
        </w:rPr>
      </w:pPr>
    </w:p>
    <w:p w14:paraId="0A86802F">
      <w:pPr>
        <w:pStyle w:val="4"/>
        <w:ind w:left="0" w:leftChars="0" w:firstLine="0" w:firstLineChars="0"/>
        <w:rPr>
          <w:rFonts w:hint="default"/>
          <w:lang w:val="en-US" w:eastAsia="zh-CN"/>
        </w:rPr>
      </w:pPr>
    </w:p>
    <w:p w14:paraId="40B04136">
      <w:pPr>
        <w:pStyle w:val="4"/>
        <w:ind w:left="0" w:leftChars="0" w:firstLine="0" w:firstLineChars="0"/>
        <w:rPr>
          <w:rFonts w:hint="default"/>
          <w:lang w:val="en-US" w:eastAsia="zh-CN"/>
        </w:rPr>
      </w:pPr>
    </w:p>
    <w:p w14:paraId="6D124F2C">
      <w:pPr>
        <w:pStyle w:val="4"/>
        <w:ind w:left="0" w:leftChars="0" w:firstLine="0" w:firstLineChars="0"/>
        <w:rPr>
          <w:rFonts w:hint="default"/>
          <w:lang w:val="en-US" w:eastAsia="zh-CN"/>
        </w:rPr>
      </w:pPr>
    </w:p>
    <w:p w14:paraId="58DCA26B">
      <w:pPr>
        <w:pStyle w:val="4"/>
        <w:ind w:left="0" w:leftChars="0" w:firstLine="0" w:firstLineChars="0"/>
        <w:rPr>
          <w:rFonts w:hint="default"/>
          <w:lang w:val="en-US" w:eastAsia="zh-CN"/>
        </w:rPr>
      </w:pPr>
    </w:p>
    <w:p w14:paraId="062BFCBA">
      <w:pPr>
        <w:pStyle w:val="4"/>
        <w:ind w:left="0" w:leftChars="0" w:firstLine="0" w:firstLineChars="0"/>
        <w:rPr>
          <w:rFonts w:hint="default"/>
          <w:lang w:val="en-US" w:eastAsia="zh-CN"/>
        </w:rPr>
      </w:pPr>
    </w:p>
    <w:p w14:paraId="03DAAE49">
      <w:pPr>
        <w:pStyle w:val="4"/>
        <w:ind w:left="0" w:leftChars="0" w:firstLine="0" w:firstLineChars="0"/>
        <w:rPr>
          <w:rFonts w:hint="default"/>
          <w:lang w:val="en-US" w:eastAsia="zh-CN"/>
        </w:rPr>
      </w:pPr>
    </w:p>
    <w:p w14:paraId="329D92AB">
      <w:pPr>
        <w:pStyle w:val="4"/>
        <w:ind w:left="0" w:leftChars="0" w:firstLine="0" w:firstLineChars="0"/>
        <w:rPr>
          <w:rFonts w:hint="default"/>
          <w:lang w:val="en-US" w:eastAsia="zh-CN"/>
        </w:rPr>
      </w:pPr>
    </w:p>
    <w:p w14:paraId="15CA7C53">
      <w:pPr>
        <w:pStyle w:val="4"/>
        <w:ind w:left="0" w:leftChars="0" w:firstLine="0" w:firstLineChars="0"/>
        <w:rPr>
          <w:rFonts w:hint="default"/>
          <w:lang w:val="en-US" w:eastAsia="zh-CN"/>
        </w:rPr>
      </w:pPr>
    </w:p>
    <w:p w14:paraId="5841AEBC">
      <w:pPr>
        <w:pStyle w:val="4"/>
        <w:ind w:left="0" w:leftChars="0" w:firstLine="0" w:firstLineChars="0"/>
        <w:rPr>
          <w:rFonts w:hint="default"/>
          <w:lang w:val="en-US" w:eastAsia="zh-CN"/>
        </w:rPr>
      </w:pPr>
    </w:p>
    <w:p w14:paraId="50AB098C">
      <w:pPr>
        <w:pStyle w:val="4"/>
        <w:ind w:left="0" w:leftChars="0" w:firstLine="0" w:firstLineChars="0"/>
        <w:rPr>
          <w:rFonts w:hint="default"/>
          <w:lang w:val="en-US" w:eastAsia="zh-CN"/>
        </w:rPr>
      </w:pPr>
    </w:p>
    <w:p w14:paraId="17B06EC5">
      <w:pPr>
        <w:pStyle w:val="4"/>
        <w:ind w:left="0" w:leftChars="0" w:firstLine="0" w:firstLineChars="0"/>
        <w:rPr>
          <w:rFonts w:hint="eastAsia"/>
          <w:lang w:val="en-US" w:eastAsia="zh-CN"/>
        </w:rPr>
      </w:pPr>
      <w:r>
        <w:rPr>
          <w:rFonts w:hint="eastAsia"/>
          <w:lang w:val="en-US" w:eastAsia="zh-CN"/>
        </w:rPr>
        <w:t>附件2</w:t>
      </w:r>
    </w:p>
    <w:p w14:paraId="22B0BB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color w:val="000000"/>
          <w:sz w:val="44"/>
          <w:szCs w:val="44"/>
          <w:lang w:val="en-US" w:eastAsia="zh-CN"/>
        </w:rPr>
      </w:pPr>
      <w:r>
        <w:rPr>
          <w:rFonts w:hint="eastAsia" w:ascii="方正小标宋_GBK" w:hAnsi="方正小标宋_GBK" w:eastAsia="方正小标宋_GBK" w:cs="方正小标宋_GBK"/>
          <w:b/>
          <w:bCs/>
          <w:color w:val="000000"/>
          <w:sz w:val="44"/>
          <w:szCs w:val="44"/>
        </w:rPr>
        <w:t>202</w:t>
      </w:r>
      <w:r>
        <w:rPr>
          <w:rFonts w:hint="eastAsia" w:ascii="方正小标宋_GBK" w:hAnsi="方正小标宋_GBK" w:eastAsia="方正小标宋_GBK" w:cs="方正小标宋_GBK"/>
          <w:b/>
          <w:bCs/>
          <w:color w:val="000000"/>
          <w:sz w:val="44"/>
          <w:szCs w:val="44"/>
          <w:lang w:val="en-US" w:eastAsia="zh-CN"/>
        </w:rPr>
        <w:t>5</w:t>
      </w:r>
      <w:r>
        <w:rPr>
          <w:rFonts w:hint="eastAsia" w:ascii="方正小标宋_GBK" w:hAnsi="方正小标宋_GBK" w:eastAsia="方正小标宋_GBK" w:cs="方正小标宋_GBK"/>
          <w:b/>
          <w:bCs/>
          <w:color w:val="000000"/>
          <w:sz w:val="44"/>
          <w:szCs w:val="44"/>
        </w:rPr>
        <w:t>年</w:t>
      </w:r>
      <w:r>
        <w:rPr>
          <w:rFonts w:hint="eastAsia" w:ascii="方正小标宋_GBK" w:hAnsi="方正小标宋_GBK" w:eastAsia="方正小标宋_GBK" w:cs="方正小标宋_GBK"/>
          <w:b/>
          <w:bCs/>
          <w:color w:val="000000"/>
          <w:sz w:val="44"/>
          <w:szCs w:val="44"/>
          <w:lang w:val="en-US" w:eastAsia="zh-CN"/>
        </w:rPr>
        <w:t>安徽电子信息职业技术学院</w:t>
      </w:r>
    </w:p>
    <w:p w14:paraId="403ACD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color w:val="000000"/>
          <w:sz w:val="44"/>
          <w:szCs w:val="44"/>
        </w:rPr>
        <w:t>“</w:t>
      </w:r>
      <w:r>
        <w:rPr>
          <w:rFonts w:hint="eastAsia" w:ascii="方正小标宋_GBK" w:hAnsi="方正小标宋_GBK" w:eastAsia="方正小标宋_GBK" w:cs="方正小标宋_GBK"/>
          <w:b/>
          <w:bCs/>
          <w:color w:val="000000"/>
          <w:sz w:val="44"/>
          <w:szCs w:val="44"/>
          <w:lang w:val="en-US" w:eastAsia="zh-CN"/>
        </w:rPr>
        <w:t>财会职业</w:t>
      </w:r>
      <w:r>
        <w:rPr>
          <w:rFonts w:hint="eastAsia" w:ascii="方正小标宋_GBK" w:hAnsi="方正小标宋_GBK" w:eastAsia="方正小标宋_GBK" w:cs="方正小标宋_GBK"/>
          <w:b/>
          <w:bCs/>
          <w:color w:val="000000"/>
          <w:sz w:val="44"/>
          <w:szCs w:val="44"/>
        </w:rPr>
        <w:t>技能拓展”</w:t>
      </w:r>
      <w:r>
        <w:rPr>
          <w:rFonts w:hint="eastAsia" w:ascii="方正小标宋_GBK" w:hAnsi="方正小标宋_GBK" w:eastAsia="方正小标宋_GBK" w:cs="方正小标宋_GBK"/>
          <w:b/>
          <w:bCs/>
          <w:sz w:val="44"/>
          <w:szCs w:val="44"/>
        </w:rPr>
        <w:t>赛项竞赛规程</w:t>
      </w:r>
    </w:p>
    <w:p w14:paraId="75E83497"/>
    <w:p w14:paraId="5E380883">
      <w:pPr>
        <w:snapToGrid w:val="0"/>
        <w:spacing w:line="580" w:lineRule="exact"/>
        <w:ind w:firstLine="640" w:firstLineChars="200"/>
        <w:rPr>
          <w:rFonts w:ascii="Times New Roman" w:hAnsi="Times New Roman" w:eastAsia="黑体"/>
          <w:bCs/>
          <w:sz w:val="30"/>
          <w:szCs w:val="30"/>
        </w:rPr>
      </w:pPr>
      <w:r>
        <w:rPr>
          <w:rFonts w:ascii="Times New Roman" w:hAnsi="Times New Roman" w:eastAsia="黑体"/>
          <w:bCs/>
          <w:sz w:val="32"/>
          <w:szCs w:val="32"/>
        </w:rPr>
        <w:t>一、赛项名称</w:t>
      </w:r>
    </w:p>
    <w:p w14:paraId="5AA224D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赛项名称：财会职业技能拓展 </w:t>
      </w:r>
    </w:p>
    <w:p w14:paraId="7AA8873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赛项组别：高职组 </w:t>
      </w:r>
    </w:p>
    <w:p w14:paraId="559EE84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赛项归属产业：财经商贸类</w:t>
      </w:r>
    </w:p>
    <w:p w14:paraId="2C71D410">
      <w:pPr>
        <w:snapToGrid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二、竞赛目的</w:t>
      </w:r>
    </w:p>
    <w:p w14:paraId="25068F04">
      <w:pPr>
        <w:spacing w:line="580" w:lineRule="exact"/>
        <w:ind w:firstLine="640" w:firstLineChars="200"/>
        <w:rPr>
          <w:rFonts w:ascii="Times New Roman" w:hAnsi="Times New Roman" w:eastAsia="仿宋_GB2312"/>
          <w:sz w:val="32"/>
          <w:szCs w:val="32"/>
        </w:rPr>
      </w:pPr>
      <w:bookmarkStart w:id="0" w:name="_Hlk114669357"/>
      <w:r>
        <w:rPr>
          <w:rFonts w:ascii="Times New Roman" w:hAnsi="Times New Roman" w:eastAsia="仿宋_GB2312"/>
          <w:sz w:val="32"/>
          <w:szCs w:val="32"/>
        </w:rPr>
        <w:t>通过竞赛，促进职业院校与行业企业的产教融合，推动建立健全职业教育国家制度框架，提升技术技能人才培养质量，检验和展示高职院校财会类专业教学改革成果和学生会计职业岗位通用技术、职业能力以及职业素养，引领和促进高职院校财会类专业教学改革，营造有利于职业教育发展的良好社会环境,推动提升高职院校财经类专业人才培养水平。</w:t>
      </w:r>
    </w:p>
    <w:bookmarkEnd w:id="0"/>
    <w:p w14:paraId="0C812D4E">
      <w:pPr>
        <w:snapToGrid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三、竞赛内容简介</w:t>
      </w:r>
    </w:p>
    <w:p w14:paraId="044724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财会职业技能拓展赛项以</w:t>
      </w:r>
      <w:r>
        <w:rPr>
          <w:rFonts w:hint="eastAsia" w:ascii="Times New Roman" w:hAnsi="Times New Roman" w:eastAsia="仿宋_GB2312"/>
          <w:sz w:val="32"/>
          <w:szCs w:val="32"/>
          <w:lang w:val="en-US" w:eastAsia="zh-CN"/>
        </w:rPr>
        <w:t>个人竞赛</w:t>
      </w:r>
      <w:r>
        <w:rPr>
          <w:rFonts w:ascii="Times New Roman" w:hAnsi="Times New Roman" w:eastAsia="仿宋_GB2312"/>
          <w:sz w:val="32"/>
          <w:szCs w:val="32"/>
        </w:rPr>
        <w:t>方式，采用财会职业能力养成平台为竞赛平台。竞赛案例提供完整的信息中心资料，模拟实务逼真的工作系统环境和完整的财务工作业务链条，旨在培养财会人员实务操作能力，将“业务”“账务”“税务”融合成一个整体，透过现代经济社会的典型行业主体案例，以经济业务发生为主线，将财务各项工作结合起来，同时与银行、税务等外部机构串联，融合创新创业核心内容、行业业务内容、内部控制内容、财务分析辅助决策内容、账务税务综合应用内容及业务操作内容，以国家最新政策为指导标准及时更新，贴合实际工作不断升级，实现流程串联、数据关联、逻辑通连、操作互联，无缝对接企业会计岗位工作，多元化培养学生财税相关技能，综合性考核评价学生业务水平。</w:t>
      </w:r>
    </w:p>
    <w:p w14:paraId="67C34079">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四、竞赛方式</w:t>
      </w:r>
    </w:p>
    <w:p w14:paraId="4AFEFA85">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（一）参赛对象</w:t>
      </w:r>
    </w:p>
    <w:p w14:paraId="00253A7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参赛选手须为</w:t>
      </w:r>
      <w:r>
        <w:rPr>
          <w:rFonts w:hint="eastAsia" w:ascii="Times New Roman" w:hAnsi="Times New Roman" w:eastAsia="仿宋_GB2312"/>
          <w:sz w:val="32"/>
          <w:szCs w:val="32"/>
          <w:lang w:val="en-US" w:eastAsia="zh-CN"/>
        </w:rPr>
        <w:t>安徽电子信息职业技术学院</w:t>
      </w:r>
      <w:r>
        <w:rPr>
          <w:rFonts w:ascii="Times New Roman" w:hAnsi="Times New Roman" w:eastAsia="仿宋_GB2312"/>
          <w:sz w:val="32"/>
          <w:szCs w:val="32"/>
        </w:rPr>
        <w:t>在籍学生。</w:t>
      </w:r>
    </w:p>
    <w:p w14:paraId="65C24761">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（二）组织方式</w:t>
      </w:r>
    </w:p>
    <w:p w14:paraId="22A93A1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赛项采用</w:t>
      </w:r>
      <w:r>
        <w:rPr>
          <w:rFonts w:hint="eastAsia" w:ascii="Times New Roman" w:hAnsi="Times New Roman" w:eastAsia="仿宋_GB2312"/>
          <w:sz w:val="32"/>
          <w:szCs w:val="32"/>
          <w:lang w:val="en-US" w:eastAsia="zh-CN"/>
        </w:rPr>
        <w:t>个人</w:t>
      </w:r>
      <w:r>
        <w:rPr>
          <w:rFonts w:ascii="Times New Roman" w:hAnsi="Times New Roman" w:eastAsia="仿宋_GB2312"/>
          <w:sz w:val="32"/>
          <w:szCs w:val="32"/>
        </w:rPr>
        <w:t>赛形式，每</w:t>
      </w:r>
      <w:r>
        <w:rPr>
          <w:rFonts w:hint="eastAsia" w:ascii="Times New Roman" w:hAnsi="Times New Roman" w:eastAsia="仿宋_GB2312"/>
          <w:sz w:val="32"/>
          <w:szCs w:val="32"/>
          <w:lang w:val="en-US" w:eastAsia="zh-CN"/>
        </w:rPr>
        <w:t>位参赛学生</w:t>
      </w:r>
      <w:r>
        <w:rPr>
          <w:rFonts w:ascii="Times New Roman" w:hAnsi="Times New Roman" w:eastAsia="仿宋_GB2312"/>
          <w:sz w:val="32"/>
          <w:szCs w:val="32"/>
        </w:rPr>
        <w:t>由1~2名指导教师</w:t>
      </w:r>
      <w:r>
        <w:rPr>
          <w:rFonts w:hint="eastAsia" w:ascii="Times New Roman" w:hAnsi="Times New Roman" w:eastAsia="仿宋_GB2312"/>
          <w:sz w:val="32"/>
          <w:szCs w:val="32"/>
          <w:lang w:val="en-US" w:eastAsia="zh-CN"/>
        </w:rPr>
        <w:t>进行指导</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一人多岗的形式，参赛学生</w:t>
      </w:r>
      <w:r>
        <w:rPr>
          <w:rFonts w:ascii="Times New Roman" w:hAnsi="Times New Roman" w:eastAsia="仿宋_GB2312"/>
          <w:sz w:val="32"/>
          <w:szCs w:val="32"/>
        </w:rPr>
        <w:t>担任会计主管、出纳、总账会计、成本会计4个财务岗位，并根据比赛要求协作完成相应的业务处理。</w:t>
      </w:r>
    </w:p>
    <w:p w14:paraId="5E19B150">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（三）竞赛时长</w:t>
      </w:r>
    </w:p>
    <w:p w14:paraId="2F163ED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竞赛总时长为180分钟。</w:t>
      </w:r>
    </w:p>
    <w:p w14:paraId="20FB5DF6">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（四）竞赛内容</w:t>
      </w:r>
    </w:p>
    <w:p w14:paraId="69AFED7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案例模拟一家中型制造企业</w:t>
      </w:r>
      <w:r>
        <w:rPr>
          <w:rFonts w:hint="eastAsia" w:ascii="Times New Roman" w:hAnsi="Times New Roman" w:eastAsia="仿宋_GB2312"/>
          <w:sz w:val="32"/>
          <w:szCs w:val="32"/>
          <w:lang w:val="en-US" w:eastAsia="zh-CN"/>
        </w:rPr>
        <w:t>某</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1日-15日</w:t>
      </w:r>
      <w:r>
        <w:rPr>
          <w:rFonts w:ascii="Times New Roman" w:hAnsi="Times New Roman" w:eastAsia="仿宋_GB2312"/>
          <w:sz w:val="32"/>
          <w:szCs w:val="32"/>
        </w:rPr>
        <w:t>的经济业务，会计核算依据《企业会计准则》和现行税法，四个岗位人员协同分工完成约</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笔业务。竞赛平台涉及的工作系统模块有10个，主要包括：信息中心、业务协同、会计信息化、网上银行、保险柜、出纳账、开票系统、电子税务局、自然人税收管理系统、增值税发票综合服务平台。</w:t>
      </w:r>
    </w:p>
    <w:p w14:paraId="01F8EC50">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（五）岗位职责分工</w:t>
      </w:r>
    </w:p>
    <w:p w14:paraId="012995E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1.会计主管岗位</w:t>
      </w:r>
    </w:p>
    <w:p w14:paraId="06CEFF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473404F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（2）负责业务协同系统中与本岗位相关的经济业务办理，原始业务单据审核和审批；</w:t>
      </w:r>
    </w:p>
    <w:p w14:paraId="24071FB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（3）负责会计信息化系统记账凭证审核、期末结账并出具财务报表；</w:t>
      </w:r>
    </w:p>
    <w:p w14:paraId="4E9F509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（4）负责网上银行系统付款业务的转账汇款申请记录的复核；</w:t>
      </w:r>
    </w:p>
    <w:p w14:paraId="7EB288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（5）负责收集查询信息中心系统、开票系统、增值税发票综合服务平台、会计信息化系统的报税信息资料；</w:t>
      </w:r>
    </w:p>
    <w:p w14:paraId="467500D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（6）负责电子税务局系统税费的申报和缴纳。</w:t>
      </w:r>
    </w:p>
    <w:p w14:paraId="04A3222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2.出纳岗位</w:t>
      </w:r>
    </w:p>
    <w:p w14:paraId="79230D7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1381675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（2）负责业务协同系统中与本岗位相关的经济业务办理，完成现金、银行存款、票据结算的业务处理；</w:t>
      </w:r>
    </w:p>
    <w:p w14:paraId="02EB557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网上银行系统付款业务的转账汇款申请填制；查询转账记录、转账明细和银行存款余额；每日办理完结银行存款收支业务后核对出纳账与网上银行系统的银行存款余额、会计信息化银行存款明细账是否账实相符、账账相符；</w:t>
      </w:r>
    </w:p>
    <w:p w14:paraId="383D308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（4）负责保险柜的现金保管和存取事项；每日办理完结现金收支业务后自盘现金余额并核对出纳账与保险柜现金、会计信息化库存现金明细账是否账实相符、账账相符；月末开展现金盘点工作；</w:t>
      </w:r>
    </w:p>
    <w:p w14:paraId="69F45F2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（5）负责出纳账系统的登记，通过查询业务协同系统和会计信息化系统登记出纳账系统的现金日记账、银行存款日记账和其他备查账簿。</w:t>
      </w:r>
    </w:p>
    <w:p w14:paraId="1B724DC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3.成本会计岗位</w:t>
      </w:r>
    </w:p>
    <w:p w14:paraId="40C3931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06C0C6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主要涉及的经济业务为与产品成本相关的业务处理。业务内容主要包含材料采购、材料入库、委托加工的业务、生产领用材料、制造费用分配、完工产品入库等与产品成本相关的业务；</w:t>
      </w:r>
    </w:p>
    <w:p w14:paraId="35E263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（3）负责会计信息化系统中与本岗位相关的记账凭证的填制、删除、修改，主要涉及的核算业务为业务协同系统中所办理的与产品成本相关的业务；</w:t>
      </w:r>
    </w:p>
    <w:p w14:paraId="6913970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（4）负责增值税发票综合服务平台中发票的抵扣勾选认证。</w:t>
      </w:r>
    </w:p>
    <w:p w14:paraId="6EFB836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4.总账会计岗位</w:t>
      </w:r>
    </w:p>
    <w:p w14:paraId="2654E2D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134778C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（2）负责业务协同系统中与本岗位相关的经济业务办理，主要处理除其他三个岗位办理的经济业务外的所有经济业务内容；</w:t>
      </w:r>
    </w:p>
    <w:p w14:paraId="70C65AC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（3）负责会计信息化系统会计科目、供应商、客户、部门、职员基础信息的维护；完成除成本会计核算的业务外的记账凭证的填制、删除、修改；完成期末结转损益和记账工作；</w:t>
      </w:r>
    </w:p>
    <w:p w14:paraId="4697652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（4）负责开票系统的发票开具，根据业务协同系统的销售单据开具增值税发票。</w:t>
      </w:r>
    </w:p>
    <w:p w14:paraId="6BDA81F7">
      <w:pPr>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（六）考核能力</w:t>
      </w:r>
    </w:p>
    <w:p w14:paraId="52C2B7F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1.业务操作流程</w:t>
      </w:r>
    </w:p>
    <w:p w14:paraId="23D4D1B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（1）以企业信息中心为基础，熟悉信息中心的企业相关信息资料，通读信息中心资料，了解企业经营环境，并能熟练查找、下载业务处理所需资料。</w:t>
      </w:r>
    </w:p>
    <w:p w14:paraId="489B013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（2）以业务协同系统的经济业务发生为主线，将财务各项工作结合起来，利用全方位逼真模拟系统将业务协同里的经济业务办理流程串联起来。</w:t>
      </w:r>
    </w:p>
    <w:p w14:paraId="5064AA6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①根据业务协同内容填制原始凭证、审核原始凭证；</w:t>
      </w:r>
    </w:p>
    <w:p w14:paraId="0820FD6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②根据业务协同内容开具销售业务的增值税发票；</w:t>
      </w:r>
    </w:p>
    <w:p w14:paraId="647427C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③根据业务协同内容审批付款单据、审核报销单据并由出纳人员进行现金支付、网上银行转账或票据结算；</w:t>
      </w:r>
    </w:p>
    <w:p w14:paraId="31485E5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④根据业务协同内容对已办理完成现金收支、银行存款收支及票据结算的业务进行现金日记账、银行存款日记账和备查账簿的登记；</w:t>
      </w:r>
    </w:p>
    <w:p w14:paraId="10AD463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⑤根据业务协同内容对收到的发票进行抵扣勾选认证；</w:t>
      </w:r>
    </w:p>
    <w:p w14:paraId="10EFA0D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⑥根据业务协同内容查询信息中心系统、开票系统和增值税发票综合服务平台的相关报税资料并通过电子税务局申报增值税及附加税费，根据报税资料完成企业所得税和财务报表申报、个人所得税申报、印花税申报、房产税及土地使用税申报；</w:t>
      </w:r>
    </w:p>
    <w:p w14:paraId="7668333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⑦根据已办理完结的业务协同内容在会计信息化系统中进行填制记账凭证、审核记账凭证；</w:t>
      </w:r>
    </w:p>
    <w:p w14:paraId="4A8FC92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⑧根据业务协同内容进行计提工资、税费，结转成本费用，结转损益类科目、月末结账等业务办理。</w:t>
      </w:r>
    </w:p>
    <w:p w14:paraId="5CCBDCD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2.竞赛能力要求</w:t>
      </w:r>
    </w:p>
    <w:p w14:paraId="52AA7CF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（1）业务协同系统操作</w:t>
      </w:r>
    </w:p>
    <w:p w14:paraId="12AEADE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①熟悉业务协同系统的操作环境；</w:t>
      </w:r>
    </w:p>
    <w:p w14:paraId="02240DB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②能够正确填制原始凭证，并准确审核原始凭证；</w:t>
      </w:r>
    </w:p>
    <w:p w14:paraId="7981D26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③掌握阅读原始凭证能力，通过职业判断处理经济业务；</w:t>
      </w:r>
    </w:p>
    <w:p w14:paraId="59497D0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④熟练掌握与其他系统的结合操作，计算各类表格。</w:t>
      </w:r>
    </w:p>
    <w:p w14:paraId="2287CA1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（2）会计信息化系统操作</w:t>
      </w:r>
    </w:p>
    <w:p w14:paraId="7B6F630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①熟悉会计信息化系统的操作环境；</w:t>
      </w:r>
    </w:p>
    <w:p w14:paraId="20231A5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②掌握按原始单据内容填制记账凭证；</w:t>
      </w:r>
    </w:p>
    <w:p w14:paraId="38A53C9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③掌握对记账凭证的审核；</w:t>
      </w:r>
    </w:p>
    <w:p w14:paraId="3D2FAA6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④掌握自动结转损益、月末记账、结账等处理；</w:t>
      </w:r>
    </w:p>
    <w:p w14:paraId="0A619DF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⑤掌握查询明细账、总账、报表等功能。</w:t>
      </w:r>
    </w:p>
    <w:p w14:paraId="47023CE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（3）网上银行系统操作</w:t>
      </w:r>
    </w:p>
    <w:p w14:paraId="65D0AA3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①熟悉网上银行系统的操作环境；</w:t>
      </w:r>
    </w:p>
    <w:p w14:paraId="32B80FB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②掌握按业务协同内容要求网上银行转账操作；</w:t>
      </w:r>
    </w:p>
    <w:p w14:paraId="6AE2F61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③掌握网上银行转账汇款制单操作；</w:t>
      </w:r>
    </w:p>
    <w:p w14:paraId="4EF20B7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④掌握网上银行转账汇款复核操作；</w:t>
      </w:r>
    </w:p>
    <w:p w14:paraId="562297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⑤掌握网上银行账户管理的余额和明细的查询操作。</w:t>
      </w:r>
    </w:p>
    <w:p w14:paraId="3D9CE6C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（4）保险柜系统操作</w:t>
      </w:r>
    </w:p>
    <w:p w14:paraId="16F244A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①熟悉保险柜系统的操作环境；</w:t>
      </w:r>
    </w:p>
    <w:p w14:paraId="078087E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②掌握现金收入业务保险柜存钱的操作；</w:t>
      </w:r>
    </w:p>
    <w:p w14:paraId="2A4151A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③掌握现金支出业务保险柜取钱的操作；</w:t>
      </w:r>
    </w:p>
    <w:p w14:paraId="16A9F88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④掌握支票支付密码器的操作，根据支付密码签发票据；</w:t>
      </w:r>
    </w:p>
    <w:p w14:paraId="014E9C7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⑤掌握现金盘点时，保险柜的余额与现金日记账和明细账是否账实相符。</w:t>
      </w:r>
    </w:p>
    <w:p w14:paraId="7EF8035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（5）出纳账操作</w:t>
      </w:r>
    </w:p>
    <w:p w14:paraId="0D1D6FE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①熟悉出纳账的操作环境；</w:t>
      </w:r>
    </w:p>
    <w:p w14:paraId="2FF152A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②掌握按业务协同系统发生的经济业务内容和会计信息化系统的记账凭证登记“现金日记账”和“银行存款日记账”；</w:t>
      </w:r>
    </w:p>
    <w:p w14:paraId="28556E3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③掌握按业务协同系统发生的经济业务内容登记“支票登记簿”；</w:t>
      </w:r>
    </w:p>
    <w:p w14:paraId="6743085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④掌握按业务协同系统发生的经济业务内容登记“备查账簿”。</w:t>
      </w:r>
    </w:p>
    <w:p w14:paraId="2918292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（6）开票系统操作</w:t>
      </w:r>
    </w:p>
    <w:p w14:paraId="14D40DE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①熟悉开票系统的操作环境；</w:t>
      </w:r>
    </w:p>
    <w:p w14:paraId="6C202B8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②掌握按业务协同系统发生的经济业务内容开具销售发票；</w:t>
      </w:r>
    </w:p>
    <w:p w14:paraId="486D7AC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③掌握按业务协同系统发生的经济业务内容开具收购发票；</w:t>
      </w:r>
    </w:p>
    <w:p w14:paraId="21F8106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④掌握按业务协同系统发生的经济业务内容开具退货、折让红字发票；</w:t>
      </w:r>
    </w:p>
    <w:p w14:paraId="1889A7A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⑤掌握开票系统已开具发票的明细查询、汇总发票资料查询。</w:t>
      </w:r>
    </w:p>
    <w:p w14:paraId="00D5647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（7）电子税务局操作</w:t>
      </w:r>
    </w:p>
    <w:p w14:paraId="4D4C0BC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①熟悉电子税务局的操作环境；</w:t>
      </w:r>
    </w:p>
    <w:p w14:paraId="7FB2670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②能够结合其他相关系统收集报税资料为报税做好准备；</w:t>
      </w:r>
    </w:p>
    <w:p w14:paraId="12EBE3C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③掌握电子税务局系统增值税及附加税费、企业所得税、印花税、房产税从价或从租计征、城镇土地使用税申报及纳税操作；</w:t>
      </w:r>
    </w:p>
    <w:p w14:paraId="7046825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④掌握电子税务局企业财务报表的申报操作。</w:t>
      </w:r>
    </w:p>
    <w:p w14:paraId="2918F8D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（8）自然人税收管理系统操作</w:t>
      </w:r>
    </w:p>
    <w:p w14:paraId="3AE29FF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①熟悉自然人税收管理系统的操作环境；</w:t>
      </w:r>
    </w:p>
    <w:p w14:paraId="5146F57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②能够结合其他相关系统收集报税资料，为个人所得税申报做好准备；</w:t>
      </w:r>
    </w:p>
    <w:p w14:paraId="3006A43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③掌握自然人税收管理系统人员信息采集中增员及减员操作；</w:t>
      </w:r>
    </w:p>
    <w:p w14:paraId="7253A00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④掌握自然人税收管理系统专项附加扣除信息采集；</w:t>
      </w:r>
    </w:p>
    <w:p w14:paraId="00910C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⑤掌握自然人税收管理系统综合所得批量导入申报、缴纳税款操作。</w:t>
      </w:r>
    </w:p>
    <w:p w14:paraId="40E4705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（9）增值税发票综合服务平台操作</w:t>
      </w:r>
    </w:p>
    <w:p w14:paraId="48E2657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①熟悉增值税发票综合服务平台的操作环境；</w:t>
      </w:r>
    </w:p>
    <w:p w14:paraId="5BF025C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②掌握发票抵扣勾选的流程及操作；</w:t>
      </w:r>
    </w:p>
    <w:p w14:paraId="064F3FE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③掌握抵扣勾选的统计及确认操作；</w:t>
      </w:r>
    </w:p>
    <w:p w14:paraId="26E6DE9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④了解进项发票查询及发票下载。</w:t>
      </w:r>
    </w:p>
    <w:p w14:paraId="3394E673">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五、评分标准</w:t>
      </w:r>
    </w:p>
    <w:p w14:paraId="0AC60A5B">
      <w:pPr>
        <w:widowControl/>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（一）评分标准的制定原则</w:t>
      </w:r>
    </w:p>
    <w:p w14:paraId="302A317D">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竞赛评分标准由赛项专家组制定，本着公开、公平、公正的原则，对参赛选手财税技能方面进行考核。</w:t>
      </w:r>
      <w:bookmarkStart w:id="1" w:name="_Toc490723174"/>
      <w:bookmarkStart w:id="2" w:name="_Toc460654217"/>
      <w:r>
        <w:rPr>
          <w:rFonts w:ascii="Times New Roman" w:hAnsi="Times New Roman" w:eastAsia="仿宋_GB2312"/>
          <w:sz w:val="32"/>
          <w:szCs w:val="32"/>
        </w:rPr>
        <w:t>竞赛结果由系统自动评分，裁判组全程监控。</w:t>
      </w:r>
    </w:p>
    <w:p w14:paraId="343AF5FE">
      <w:pPr>
        <w:widowControl/>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（二）评分方法</w:t>
      </w:r>
      <w:bookmarkEnd w:id="1"/>
      <w:bookmarkEnd w:id="2"/>
    </w:p>
    <w:p w14:paraId="4E895FC8">
      <w:pPr>
        <w:widowControl/>
        <w:spacing w:line="58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总分400分，参赛队伍最终成绩保留两位小数，如参赛队伍最终成绩总分相同，以会计主管岗位成绩高的团队排名在前。分值比例分配如下：</w:t>
      </w:r>
    </w:p>
    <w:tbl>
      <w:tblPr>
        <w:tblStyle w:val="5"/>
        <w:tblW w:w="862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1276"/>
        <w:gridCol w:w="992"/>
        <w:gridCol w:w="1210"/>
        <w:gridCol w:w="1210"/>
        <w:gridCol w:w="982"/>
      </w:tblGrid>
      <w:tr w14:paraId="73C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957" w:type="dxa"/>
            <w:tcBorders>
              <w:tl2br w:val="single" w:color="auto" w:sz="4" w:space="0"/>
            </w:tcBorders>
            <w:vAlign w:val="center"/>
          </w:tcPr>
          <w:p w14:paraId="18170B5E">
            <w:pPr>
              <w:spacing w:line="580" w:lineRule="exact"/>
              <w:ind w:firstLine="1687" w:firstLineChars="700"/>
              <w:rPr>
                <w:rFonts w:ascii="Times New Roman" w:hAnsi="Times New Roman" w:eastAsia="仿宋_GB2312"/>
                <w:b/>
                <w:bCs/>
                <w:sz w:val="24"/>
              </w:rPr>
            </w:pPr>
            <w:r>
              <w:rPr>
                <w:rFonts w:ascii="Times New Roman" w:hAnsi="Times New Roman" w:eastAsia="仿宋_GB2312"/>
                <w:b/>
                <w:bCs/>
                <w:sz w:val="24"/>
              </w:rPr>
              <w:t>岗位</w:t>
            </w:r>
          </w:p>
          <w:p w14:paraId="4D2ECA25">
            <w:pPr>
              <w:spacing w:line="580" w:lineRule="exact"/>
              <w:rPr>
                <w:rFonts w:ascii="Times New Roman" w:hAnsi="Times New Roman" w:eastAsia="仿宋_GB2312"/>
                <w:b/>
                <w:bCs/>
                <w:sz w:val="24"/>
              </w:rPr>
            </w:pPr>
            <w:r>
              <w:rPr>
                <w:rFonts w:ascii="Times New Roman" w:hAnsi="Times New Roman" w:eastAsia="仿宋_GB2312"/>
                <w:b/>
                <w:bCs/>
                <w:sz w:val="24"/>
              </w:rPr>
              <w:t>系统</w:t>
            </w:r>
          </w:p>
        </w:tc>
        <w:tc>
          <w:tcPr>
            <w:tcW w:w="1276" w:type="dxa"/>
            <w:vAlign w:val="center"/>
          </w:tcPr>
          <w:p w14:paraId="62EDCD12">
            <w:pPr>
              <w:spacing w:line="580" w:lineRule="exact"/>
              <w:jc w:val="center"/>
              <w:rPr>
                <w:rFonts w:ascii="Times New Roman" w:hAnsi="Times New Roman" w:eastAsia="仿宋_GB2312"/>
                <w:b/>
                <w:bCs/>
                <w:sz w:val="24"/>
                <w:szCs w:val="22"/>
              </w:rPr>
            </w:pPr>
            <w:r>
              <w:rPr>
                <w:rFonts w:ascii="Times New Roman" w:hAnsi="Times New Roman" w:eastAsia="仿宋_GB2312"/>
                <w:b/>
                <w:bCs/>
                <w:sz w:val="24"/>
              </w:rPr>
              <w:t>会计主管</w:t>
            </w:r>
          </w:p>
        </w:tc>
        <w:tc>
          <w:tcPr>
            <w:tcW w:w="992" w:type="dxa"/>
            <w:vAlign w:val="center"/>
          </w:tcPr>
          <w:p w14:paraId="64BBC685">
            <w:pPr>
              <w:spacing w:line="580" w:lineRule="exact"/>
              <w:jc w:val="center"/>
              <w:rPr>
                <w:rFonts w:ascii="Times New Roman" w:hAnsi="Times New Roman" w:eastAsia="仿宋_GB2312"/>
                <w:b/>
                <w:bCs/>
                <w:sz w:val="24"/>
              </w:rPr>
            </w:pPr>
            <w:r>
              <w:rPr>
                <w:rFonts w:ascii="Times New Roman" w:hAnsi="Times New Roman" w:eastAsia="仿宋_GB2312"/>
                <w:b/>
                <w:bCs/>
                <w:sz w:val="24"/>
              </w:rPr>
              <w:t>出纳</w:t>
            </w:r>
          </w:p>
        </w:tc>
        <w:tc>
          <w:tcPr>
            <w:tcW w:w="1210" w:type="dxa"/>
            <w:vAlign w:val="center"/>
          </w:tcPr>
          <w:p w14:paraId="243135FE">
            <w:pPr>
              <w:spacing w:line="580" w:lineRule="exact"/>
              <w:jc w:val="center"/>
              <w:rPr>
                <w:rFonts w:ascii="Times New Roman" w:hAnsi="Times New Roman" w:eastAsia="仿宋_GB2312"/>
                <w:b/>
                <w:bCs/>
                <w:sz w:val="24"/>
              </w:rPr>
            </w:pPr>
            <w:r>
              <w:rPr>
                <w:rFonts w:ascii="Times New Roman" w:hAnsi="Times New Roman" w:eastAsia="仿宋_GB2312"/>
                <w:b/>
                <w:bCs/>
                <w:sz w:val="24"/>
              </w:rPr>
              <w:t>成本会计</w:t>
            </w:r>
          </w:p>
        </w:tc>
        <w:tc>
          <w:tcPr>
            <w:tcW w:w="1210" w:type="dxa"/>
            <w:vAlign w:val="center"/>
          </w:tcPr>
          <w:p w14:paraId="434D96AA">
            <w:pPr>
              <w:spacing w:line="580" w:lineRule="exact"/>
              <w:jc w:val="center"/>
              <w:rPr>
                <w:rFonts w:ascii="Times New Roman" w:hAnsi="Times New Roman" w:eastAsia="仿宋_GB2312"/>
                <w:b/>
                <w:bCs/>
                <w:sz w:val="24"/>
              </w:rPr>
            </w:pPr>
            <w:r>
              <w:rPr>
                <w:rFonts w:ascii="Times New Roman" w:hAnsi="Times New Roman" w:eastAsia="仿宋_GB2312"/>
                <w:b/>
                <w:bCs/>
                <w:sz w:val="24"/>
              </w:rPr>
              <w:t>总账会计</w:t>
            </w:r>
          </w:p>
        </w:tc>
        <w:tc>
          <w:tcPr>
            <w:tcW w:w="982" w:type="dxa"/>
            <w:vAlign w:val="center"/>
          </w:tcPr>
          <w:p w14:paraId="3BA15DE4">
            <w:pPr>
              <w:spacing w:line="580" w:lineRule="exact"/>
              <w:jc w:val="center"/>
              <w:rPr>
                <w:rFonts w:ascii="Times New Roman" w:hAnsi="Times New Roman" w:eastAsia="仿宋_GB2312"/>
                <w:b/>
                <w:bCs/>
                <w:sz w:val="24"/>
              </w:rPr>
            </w:pPr>
            <w:r>
              <w:rPr>
                <w:rFonts w:ascii="Times New Roman" w:hAnsi="Times New Roman" w:eastAsia="仿宋_GB2312"/>
                <w:b/>
                <w:bCs/>
                <w:sz w:val="24"/>
              </w:rPr>
              <w:t>合计</w:t>
            </w:r>
          </w:p>
        </w:tc>
      </w:tr>
      <w:tr w14:paraId="69C3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1DD37EA8">
            <w:pPr>
              <w:spacing w:line="580" w:lineRule="exact"/>
              <w:jc w:val="center"/>
              <w:rPr>
                <w:rFonts w:ascii="Times New Roman" w:hAnsi="Times New Roman" w:eastAsia="仿宋_GB2312"/>
                <w:sz w:val="24"/>
              </w:rPr>
            </w:pPr>
            <w:r>
              <w:rPr>
                <w:rFonts w:ascii="Times New Roman" w:hAnsi="Times New Roman" w:eastAsia="仿宋_GB2312"/>
                <w:sz w:val="24"/>
              </w:rPr>
              <w:t>业务协同</w:t>
            </w:r>
          </w:p>
        </w:tc>
        <w:tc>
          <w:tcPr>
            <w:tcW w:w="1276" w:type="dxa"/>
            <w:vAlign w:val="center"/>
          </w:tcPr>
          <w:p w14:paraId="4A5995BE">
            <w:pPr>
              <w:spacing w:line="580" w:lineRule="exact"/>
              <w:jc w:val="center"/>
              <w:rPr>
                <w:rFonts w:ascii="Times New Roman" w:hAnsi="Times New Roman" w:eastAsia="仿宋_GB2312"/>
                <w:sz w:val="24"/>
                <w:szCs w:val="22"/>
              </w:rPr>
            </w:pPr>
            <w:r>
              <w:rPr>
                <w:rFonts w:ascii="Times New Roman" w:hAnsi="Times New Roman" w:eastAsia="仿宋_GB2312"/>
                <w:sz w:val="24"/>
              </w:rPr>
              <w:t>15.00</w:t>
            </w:r>
          </w:p>
        </w:tc>
        <w:tc>
          <w:tcPr>
            <w:tcW w:w="992" w:type="dxa"/>
            <w:vAlign w:val="center"/>
          </w:tcPr>
          <w:p w14:paraId="2D83BDA8">
            <w:pPr>
              <w:spacing w:line="580" w:lineRule="exact"/>
              <w:jc w:val="center"/>
              <w:rPr>
                <w:rFonts w:ascii="Times New Roman" w:hAnsi="Times New Roman" w:eastAsia="仿宋_GB2312"/>
                <w:sz w:val="24"/>
              </w:rPr>
            </w:pPr>
            <w:r>
              <w:rPr>
                <w:rFonts w:ascii="Times New Roman" w:hAnsi="Times New Roman" w:eastAsia="仿宋_GB2312"/>
                <w:sz w:val="24"/>
              </w:rPr>
              <w:t>25.00</w:t>
            </w:r>
          </w:p>
        </w:tc>
        <w:tc>
          <w:tcPr>
            <w:tcW w:w="1210" w:type="dxa"/>
            <w:vAlign w:val="center"/>
          </w:tcPr>
          <w:p w14:paraId="0830B0AC">
            <w:pPr>
              <w:spacing w:line="580" w:lineRule="exact"/>
              <w:jc w:val="center"/>
              <w:rPr>
                <w:rFonts w:ascii="Times New Roman" w:hAnsi="Times New Roman" w:eastAsia="仿宋_GB2312"/>
                <w:sz w:val="24"/>
              </w:rPr>
            </w:pPr>
            <w:r>
              <w:rPr>
                <w:rFonts w:ascii="Times New Roman" w:hAnsi="Times New Roman" w:eastAsia="仿宋_GB2312"/>
                <w:sz w:val="24"/>
              </w:rPr>
              <w:t>50.00</w:t>
            </w:r>
          </w:p>
        </w:tc>
        <w:tc>
          <w:tcPr>
            <w:tcW w:w="1210" w:type="dxa"/>
            <w:vAlign w:val="center"/>
          </w:tcPr>
          <w:p w14:paraId="25349D13">
            <w:pPr>
              <w:spacing w:line="580" w:lineRule="exact"/>
              <w:jc w:val="center"/>
              <w:rPr>
                <w:rFonts w:ascii="Times New Roman" w:hAnsi="Times New Roman" w:eastAsia="仿宋_GB2312"/>
                <w:sz w:val="24"/>
              </w:rPr>
            </w:pPr>
            <w:r>
              <w:rPr>
                <w:rFonts w:ascii="Times New Roman" w:hAnsi="Times New Roman" w:eastAsia="仿宋_GB2312"/>
                <w:sz w:val="24"/>
              </w:rPr>
              <w:t>35.00</w:t>
            </w:r>
          </w:p>
        </w:tc>
        <w:tc>
          <w:tcPr>
            <w:tcW w:w="982" w:type="dxa"/>
            <w:vAlign w:val="center"/>
          </w:tcPr>
          <w:p w14:paraId="7761B8CD">
            <w:pPr>
              <w:spacing w:line="580" w:lineRule="exact"/>
              <w:jc w:val="center"/>
              <w:rPr>
                <w:rFonts w:ascii="Times New Roman" w:hAnsi="Times New Roman" w:eastAsia="仿宋_GB2312"/>
                <w:sz w:val="24"/>
              </w:rPr>
            </w:pPr>
            <w:r>
              <w:rPr>
                <w:rFonts w:ascii="Times New Roman" w:hAnsi="Times New Roman" w:eastAsia="仿宋_GB2312"/>
                <w:sz w:val="24"/>
              </w:rPr>
              <w:t>125.00</w:t>
            </w:r>
          </w:p>
        </w:tc>
      </w:tr>
      <w:tr w14:paraId="502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2D097603">
            <w:pPr>
              <w:spacing w:line="580" w:lineRule="exact"/>
              <w:jc w:val="center"/>
              <w:rPr>
                <w:rFonts w:ascii="Times New Roman" w:hAnsi="Times New Roman" w:eastAsia="仿宋_GB2312"/>
                <w:sz w:val="24"/>
              </w:rPr>
            </w:pPr>
            <w:r>
              <w:rPr>
                <w:rFonts w:ascii="Times New Roman" w:hAnsi="Times New Roman" w:eastAsia="仿宋_GB2312"/>
                <w:sz w:val="24"/>
              </w:rPr>
              <w:t>会计信息化</w:t>
            </w:r>
          </w:p>
        </w:tc>
        <w:tc>
          <w:tcPr>
            <w:tcW w:w="1276" w:type="dxa"/>
            <w:vAlign w:val="center"/>
          </w:tcPr>
          <w:p w14:paraId="56C12F69">
            <w:pPr>
              <w:spacing w:line="580" w:lineRule="exact"/>
              <w:jc w:val="center"/>
              <w:rPr>
                <w:rFonts w:ascii="Times New Roman" w:hAnsi="Times New Roman" w:eastAsia="仿宋_GB2312"/>
                <w:sz w:val="24"/>
                <w:szCs w:val="22"/>
              </w:rPr>
            </w:pPr>
            <w:r>
              <w:rPr>
                <w:rFonts w:ascii="Times New Roman" w:hAnsi="Times New Roman" w:eastAsia="仿宋_GB2312"/>
                <w:sz w:val="24"/>
              </w:rPr>
              <w:t>32.00</w:t>
            </w:r>
          </w:p>
        </w:tc>
        <w:tc>
          <w:tcPr>
            <w:tcW w:w="992" w:type="dxa"/>
            <w:vAlign w:val="center"/>
          </w:tcPr>
          <w:p w14:paraId="5A441E97">
            <w:pPr>
              <w:spacing w:line="580" w:lineRule="exact"/>
              <w:jc w:val="center"/>
              <w:rPr>
                <w:rFonts w:ascii="Times New Roman" w:hAnsi="Times New Roman" w:eastAsia="仿宋_GB2312"/>
                <w:sz w:val="24"/>
              </w:rPr>
            </w:pPr>
          </w:p>
        </w:tc>
        <w:tc>
          <w:tcPr>
            <w:tcW w:w="1210" w:type="dxa"/>
            <w:vAlign w:val="center"/>
          </w:tcPr>
          <w:p w14:paraId="7F5CC18F">
            <w:pPr>
              <w:spacing w:line="580" w:lineRule="exact"/>
              <w:jc w:val="center"/>
              <w:rPr>
                <w:rFonts w:ascii="Times New Roman" w:hAnsi="Times New Roman" w:eastAsia="仿宋_GB2312"/>
                <w:sz w:val="24"/>
              </w:rPr>
            </w:pPr>
            <w:r>
              <w:rPr>
                <w:rFonts w:ascii="Times New Roman" w:hAnsi="Times New Roman" w:eastAsia="仿宋_GB2312"/>
                <w:sz w:val="24"/>
              </w:rPr>
              <w:t>42.00</w:t>
            </w:r>
          </w:p>
        </w:tc>
        <w:tc>
          <w:tcPr>
            <w:tcW w:w="1210" w:type="dxa"/>
            <w:vAlign w:val="center"/>
          </w:tcPr>
          <w:p w14:paraId="62016DC3">
            <w:pPr>
              <w:spacing w:line="580" w:lineRule="exact"/>
              <w:jc w:val="center"/>
              <w:rPr>
                <w:rFonts w:ascii="Times New Roman" w:hAnsi="Times New Roman" w:eastAsia="仿宋_GB2312"/>
                <w:sz w:val="24"/>
              </w:rPr>
            </w:pPr>
            <w:r>
              <w:rPr>
                <w:rFonts w:ascii="Times New Roman" w:hAnsi="Times New Roman" w:eastAsia="仿宋_GB2312"/>
                <w:sz w:val="24"/>
              </w:rPr>
              <w:t>45.00</w:t>
            </w:r>
          </w:p>
        </w:tc>
        <w:tc>
          <w:tcPr>
            <w:tcW w:w="982" w:type="dxa"/>
            <w:vAlign w:val="center"/>
          </w:tcPr>
          <w:p w14:paraId="7B1F26FB">
            <w:pPr>
              <w:spacing w:line="580" w:lineRule="exact"/>
              <w:jc w:val="center"/>
              <w:rPr>
                <w:rFonts w:ascii="Times New Roman" w:hAnsi="Times New Roman" w:eastAsia="仿宋_GB2312"/>
                <w:sz w:val="24"/>
              </w:rPr>
            </w:pPr>
            <w:r>
              <w:rPr>
                <w:rFonts w:ascii="Times New Roman" w:hAnsi="Times New Roman" w:eastAsia="仿宋_GB2312"/>
                <w:sz w:val="24"/>
              </w:rPr>
              <w:t>119.00</w:t>
            </w:r>
          </w:p>
        </w:tc>
      </w:tr>
      <w:tr w14:paraId="032F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64C35D53">
            <w:pPr>
              <w:spacing w:line="580" w:lineRule="exact"/>
              <w:jc w:val="center"/>
              <w:rPr>
                <w:rFonts w:ascii="Times New Roman" w:hAnsi="Times New Roman" w:eastAsia="仿宋_GB2312"/>
                <w:sz w:val="24"/>
              </w:rPr>
            </w:pPr>
            <w:r>
              <w:rPr>
                <w:rFonts w:ascii="Times New Roman" w:hAnsi="Times New Roman" w:eastAsia="仿宋_GB2312"/>
                <w:sz w:val="24"/>
              </w:rPr>
              <w:t>网上银行</w:t>
            </w:r>
          </w:p>
        </w:tc>
        <w:tc>
          <w:tcPr>
            <w:tcW w:w="1276" w:type="dxa"/>
            <w:vAlign w:val="center"/>
          </w:tcPr>
          <w:p w14:paraId="71B8A53C">
            <w:pPr>
              <w:spacing w:line="580" w:lineRule="exact"/>
              <w:jc w:val="center"/>
              <w:rPr>
                <w:rFonts w:ascii="Times New Roman" w:hAnsi="Times New Roman" w:eastAsia="仿宋_GB2312"/>
                <w:sz w:val="24"/>
                <w:szCs w:val="22"/>
              </w:rPr>
            </w:pPr>
            <w:r>
              <w:rPr>
                <w:rFonts w:ascii="Times New Roman" w:hAnsi="Times New Roman" w:eastAsia="仿宋_GB2312"/>
                <w:sz w:val="24"/>
              </w:rPr>
              <w:t>8.00</w:t>
            </w:r>
          </w:p>
        </w:tc>
        <w:tc>
          <w:tcPr>
            <w:tcW w:w="992" w:type="dxa"/>
            <w:vAlign w:val="center"/>
          </w:tcPr>
          <w:p w14:paraId="41B7C46B">
            <w:pPr>
              <w:spacing w:line="580" w:lineRule="exact"/>
              <w:jc w:val="center"/>
              <w:rPr>
                <w:rFonts w:ascii="Times New Roman" w:hAnsi="Times New Roman" w:eastAsia="仿宋_GB2312"/>
                <w:sz w:val="24"/>
              </w:rPr>
            </w:pPr>
            <w:r>
              <w:rPr>
                <w:rFonts w:ascii="Times New Roman" w:hAnsi="Times New Roman" w:eastAsia="仿宋_GB2312"/>
                <w:sz w:val="24"/>
              </w:rPr>
              <w:t>18.00</w:t>
            </w:r>
          </w:p>
        </w:tc>
        <w:tc>
          <w:tcPr>
            <w:tcW w:w="1210" w:type="dxa"/>
            <w:vAlign w:val="center"/>
          </w:tcPr>
          <w:p w14:paraId="3071A127">
            <w:pPr>
              <w:spacing w:line="580" w:lineRule="exact"/>
              <w:jc w:val="center"/>
              <w:rPr>
                <w:rFonts w:ascii="Times New Roman" w:hAnsi="Times New Roman" w:eastAsia="仿宋_GB2312"/>
                <w:sz w:val="24"/>
              </w:rPr>
            </w:pPr>
          </w:p>
        </w:tc>
        <w:tc>
          <w:tcPr>
            <w:tcW w:w="1210" w:type="dxa"/>
            <w:vAlign w:val="center"/>
          </w:tcPr>
          <w:p w14:paraId="54C1248A">
            <w:pPr>
              <w:spacing w:line="580" w:lineRule="exact"/>
              <w:jc w:val="center"/>
              <w:rPr>
                <w:rFonts w:ascii="Times New Roman" w:hAnsi="Times New Roman" w:eastAsia="仿宋_GB2312"/>
                <w:sz w:val="24"/>
              </w:rPr>
            </w:pPr>
          </w:p>
        </w:tc>
        <w:tc>
          <w:tcPr>
            <w:tcW w:w="982" w:type="dxa"/>
            <w:vAlign w:val="center"/>
          </w:tcPr>
          <w:p w14:paraId="3785D800">
            <w:pPr>
              <w:spacing w:line="580" w:lineRule="exact"/>
              <w:jc w:val="center"/>
              <w:rPr>
                <w:rFonts w:ascii="Times New Roman" w:hAnsi="Times New Roman" w:eastAsia="仿宋_GB2312"/>
                <w:sz w:val="24"/>
              </w:rPr>
            </w:pPr>
            <w:r>
              <w:rPr>
                <w:rFonts w:ascii="Times New Roman" w:hAnsi="Times New Roman" w:eastAsia="仿宋_GB2312"/>
                <w:sz w:val="24"/>
              </w:rPr>
              <w:t>26.00</w:t>
            </w:r>
          </w:p>
        </w:tc>
      </w:tr>
      <w:tr w14:paraId="0197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60F96908">
            <w:pPr>
              <w:spacing w:line="580" w:lineRule="exact"/>
              <w:jc w:val="center"/>
              <w:rPr>
                <w:rFonts w:ascii="Times New Roman" w:hAnsi="Times New Roman" w:eastAsia="仿宋_GB2312"/>
                <w:sz w:val="24"/>
              </w:rPr>
            </w:pPr>
            <w:r>
              <w:rPr>
                <w:rFonts w:ascii="Times New Roman" w:hAnsi="Times New Roman" w:eastAsia="仿宋_GB2312"/>
                <w:sz w:val="24"/>
              </w:rPr>
              <w:t>保险柜</w:t>
            </w:r>
          </w:p>
        </w:tc>
        <w:tc>
          <w:tcPr>
            <w:tcW w:w="1276" w:type="dxa"/>
            <w:vAlign w:val="center"/>
          </w:tcPr>
          <w:p w14:paraId="13E2D3F9">
            <w:pPr>
              <w:spacing w:line="580" w:lineRule="exact"/>
              <w:jc w:val="center"/>
              <w:rPr>
                <w:rFonts w:ascii="Times New Roman" w:hAnsi="Times New Roman" w:eastAsia="仿宋_GB2312"/>
                <w:sz w:val="24"/>
                <w:szCs w:val="22"/>
              </w:rPr>
            </w:pPr>
          </w:p>
        </w:tc>
        <w:tc>
          <w:tcPr>
            <w:tcW w:w="992" w:type="dxa"/>
            <w:vAlign w:val="center"/>
          </w:tcPr>
          <w:p w14:paraId="25EA9EE3">
            <w:pPr>
              <w:spacing w:line="580" w:lineRule="exact"/>
              <w:jc w:val="center"/>
              <w:rPr>
                <w:rFonts w:ascii="Times New Roman" w:hAnsi="Times New Roman" w:eastAsia="仿宋_GB2312"/>
                <w:sz w:val="24"/>
              </w:rPr>
            </w:pPr>
            <w:r>
              <w:rPr>
                <w:rFonts w:ascii="Times New Roman" w:hAnsi="Times New Roman" w:eastAsia="仿宋_GB2312"/>
                <w:sz w:val="24"/>
              </w:rPr>
              <w:t>12.00</w:t>
            </w:r>
          </w:p>
        </w:tc>
        <w:tc>
          <w:tcPr>
            <w:tcW w:w="1210" w:type="dxa"/>
            <w:vAlign w:val="center"/>
          </w:tcPr>
          <w:p w14:paraId="1F556467">
            <w:pPr>
              <w:spacing w:line="580" w:lineRule="exact"/>
              <w:jc w:val="center"/>
              <w:rPr>
                <w:rFonts w:ascii="Times New Roman" w:hAnsi="Times New Roman" w:eastAsia="仿宋_GB2312"/>
                <w:sz w:val="24"/>
              </w:rPr>
            </w:pPr>
          </w:p>
        </w:tc>
        <w:tc>
          <w:tcPr>
            <w:tcW w:w="1210" w:type="dxa"/>
            <w:vAlign w:val="center"/>
          </w:tcPr>
          <w:p w14:paraId="6FE0F48E">
            <w:pPr>
              <w:spacing w:line="580" w:lineRule="exact"/>
              <w:jc w:val="center"/>
              <w:rPr>
                <w:rFonts w:ascii="Times New Roman" w:hAnsi="Times New Roman" w:eastAsia="仿宋_GB2312"/>
                <w:sz w:val="24"/>
              </w:rPr>
            </w:pPr>
          </w:p>
        </w:tc>
        <w:tc>
          <w:tcPr>
            <w:tcW w:w="982" w:type="dxa"/>
            <w:vAlign w:val="center"/>
          </w:tcPr>
          <w:p w14:paraId="2F280151">
            <w:pPr>
              <w:spacing w:line="580" w:lineRule="exact"/>
              <w:jc w:val="center"/>
              <w:rPr>
                <w:rFonts w:ascii="Times New Roman" w:hAnsi="Times New Roman" w:eastAsia="仿宋_GB2312"/>
                <w:sz w:val="24"/>
              </w:rPr>
            </w:pPr>
            <w:r>
              <w:rPr>
                <w:rFonts w:ascii="Times New Roman" w:hAnsi="Times New Roman" w:eastAsia="仿宋_GB2312"/>
                <w:sz w:val="24"/>
              </w:rPr>
              <w:t>12.00</w:t>
            </w:r>
          </w:p>
        </w:tc>
      </w:tr>
      <w:tr w14:paraId="4FB4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0D04106D">
            <w:pPr>
              <w:spacing w:line="580" w:lineRule="exact"/>
              <w:jc w:val="center"/>
              <w:rPr>
                <w:rFonts w:ascii="Times New Roman" w:hAnsi="Times New Roman" w:eastAsia="仿宋_GB2312"/>
                <w:sz w:val="24"/>
              </w:rPr>
            </w:pPr>
            <w:r>
              <w:rPr>
                <w:rFonts w:ascii="Times New Roman" w:hAnsi="Times New Roman" w:eastAsia="仿宋_GB2312"/>
                <w:sz w:val="24"/>
              </w:rPr>
              <w:t>出纳账</w:t>
            </w:r>
          </w:p>
        </w:tc>
        <w:tc>
          <w:tcPr>
            <w:tcW w:w="1276" w:type="dxa"/>
            <w:vAlign w:val="center"/>
          </w:tcPr>
          <w:p w14:paraId="15E544F7">
            <w:pPr>
              <w:spacing w:line="580" w:lineRule="exact"/>
              <w:jc w:val="center"/>
              <w:rPr>
                <w:rFonts w:ascii="Times New Roman" w:hAnsi="Times New Roman" w:eastAsia="仿宋_GB2312"/>
                <w:sz w:val="24"/>
                <w:szCs w:val="22"/>
              </w:rPr>
            </w:pPr>
          </w:p>
        </w:tc>
        <w:tc>
          <w:tcPr>
            <w:tcW w:w="992" w:type="dxa"/>
            <w:vAlign w:val="center"/>
          </w:tcPr>
          <w:p w14:paraId="0BB726C6">
            <w:pPr>
              <w:spacing w:line="580" w:lineRule="exact"/>
              <w:jc w:val="center"/>
              <w:rPr>
                <w:rFonts w:ascii="Times New Roman" w:hAnsi="Times New Roman" w:eastAsia="仿宋_GB2312"/>
                <w:sz w:val="24"/>
              </w:rPr>
            </w:pPr>
            <w:r>
              <w:rPr>
                <w:rFonts w:ascii="Times New Roman" w:hAnsi="Times New Roman" w:eastAsia="仿宋_GB2312"/>
                <w:sz w:val="24"/>
              </w:rPr>
              <w:t>45.00</w:t>
            </w:r>
          </w:p>
        </w:tc>
        <w:tc>
          <w:tcPr>
            <w:tcW w:w="1210" w:type="dxa"/>
            <w:vAlign w:val="center"/>
          </w:tcPr>
          <w:p w14:paraId="01687B9C">
            <w:pPr>
              <w:spacing w:line="580" w:lineRule="exact"/>
              <w:jc w:val="center"/>
              <w:rPr>
                <w:rFonts w:ascii="Times New Roman" w:hAnsi="Times New Roman" w:eastAsia="仿宋_GB2312"/>
                <w:sz w:val="24"/>
              </w:rPr>
            </w:pPr>
          </w:p>
        </w:tc>
        <w:tc>
          <w:tcPr>
            <w:tcW w:w="1210" w:type="dxa"/>
            <w:vAlign w:val="center"/>
          </w:tcPr>
          <w:p w14:paraId="13046C4F">
            <w:pPr>
              <w:spacing w:line="580" w:lineRule="exact"/>
              <w:jc w:val="center"/>
              <w:rPr>
                <w:rFonts w:ascii="Times New Roman" w:hAnsi="Times New Roman" w:eastAsia="仿宋_GB2312"/>
                <w:sz w:val="24"/>
              </w:rPr>
            </w:pPr>
          </w:p>
        </w:tc>
        <w:tc>
          <w:tcPr>
            <w:tcW w:w="982" w:type="dxa"/>
            <w:vAlign w:val="center"/>
          </w:tcPr>
          <w:p w14:paraId="75D63982">
            <w:pPr>
              <w:spacing w:line="580" w:lineRule="exact"/>
              <w:jc w:val="center"/>
              <w:rPr>
                <w:rFonts w:ascii="Times New Roman" w:hAnsi="Times New Roman" w:eastAsia="仿宋_GB2312"/>
                <w:sz w:val="24"/>
              </w:rPr>
            </w:pPr>
            <w:r>
              <w:rPr>
                <w:rFonts w:ascii="Times New Roman" w:hAnsi="Times New Roman" w:eastAsia="仿宋_GB2312"/>
                <w:sz w:val="24"/>
              </w:rPr>
              <w:t>45.00</w:t>
            </w:r>
          </w:p>
        </w:tc>
      </w:tr>
      <w:tr w14:paraId="3ED7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74A571D0">
            <w:pPr>
              <w:spacing w:line="580" w:lineRule="exact"/>
              <w:jc w:val="center"/>
              <w:rPr>
                <w:rFonts w:ascii="Times New Roman" w:hAnsi="Times New Roman" w:eastAsia="仿宋_GB2312"/>
                <w:sz w:val="24"/>
              </w:rPr>
            </w:pPr>
            <w:r>
              <w:rPr>
                <w:rFonts w:ascii="Times New Roman" w:hAnsi="Times New Roman" w:eastAsia="仿宋_GB2312"/>
                <w:sz w:val="24"/>
              </w:rPr>
              <w:t>开票系统</w:t>
            </w:r>
          </w:p>
        </w:tc>
        <w:tc>
          <w:tcPr>
            <w:tcW w:w="1276" w:type="dxa"/>
            <w:vAlign w:val="center"/>
          </w:tcPr>
          <w:p w14:paraId="4F09C3C8">
            <w:pPr>
              <w:spacing w:line="580" w:lineRule="exact"/>
              <w:jc w:val="center"/>
              <w:rPr>
                <w:rFonts w:ascii="Times New Roman" w:hAnsi="Times New Roman" w:eastAsia="仿宋_GB2312"/>
                <w:sz w:val="24"/>
                <w:szCs w:val="22"/>
              </w:rPr>
            </w:pPr>
          </w:p>
        </w:tc>
        <w:tc>
          <w:tcPr>
            <w:tcW w:w="992" w:type="dxa"/>
            <w:vAlign w:val="center"/>
          </w:tcPr>
          <w:p w14:paraId="5442DD49">
            <w:pPr>
              <w:spacing w:line="580" w:lineRule="exact"/>
              <w:jc w:val="center"/>
              <w:rPr>
                <w:rFonts w:ascii="Times New Roman" w:hAnsi="Times New Roman" w:eastAsia="仿宋_GB2312"/>
                <w:sz w:val="24"/>
              </w:rPr>
            </w:pPr>
          </w:p>
        </w:tc>
        <w:tc>
          <w:tcPr>
            <w:tcW w:w="1210" w:type="dxa"/>
            <w:vAlign w:val="center"/>
          </w:tcPr>
          <w:p w14:paraId="26C9C163">
            <w:pPr>
              <w:spacing w:line="580" w:lineRule="exact"/>
              <w:jc w:val="center"/>
              <w:rPr>
                <w:rFonts w:ascii="Times New Roman" w:hAnsi="Times New Roman" w:eastAsia="仿宋_GB2312"/>
                <w:sz w:val="24"/>
              </w:rPr>
            </w:pPr>
          </w:p>
        </w:tc>
        <w:tc>
          <w:tcPr>
            <w:tcW w:w="1210" w:type="dxa"/>
            <w:vAlign w:val="center"/>
          </w:tcPr>
          <w:p w14:paraId="55142BAA">
            <w:pPr>
              <w:spacing w:line="580" w:lineRule="exact"/>
              <w:jc w:val="center"/>
              <w:rPr>
                <w:rFonts w:ascii="Times New Roman" w:hAnsi="Times New Roman" w:eastAsia="仿宋_GB2312"/>
                <w:sz w:val="24"/>
              </w:rPr>
            </w:pPr>
            <w:r>
              <w:rPr>
                <w:rFonts w:ascii="Times New Roman" w:hAnsi="Times New Roman" w:eastAsia="仿宋_GB2312"/>
                <w:sz w:val="24"/>
              </w:rPr>
              <w:t>20.00</w:t>
            </w:r>
          </w:p>
        </w:tc>
        <w:tc>
          <w:tcPr>
            <w:tcW w:w="982" w:type="dxa"/>
            <w:vAlign w:val="center"/>
          </w:tcPr>
          <w:p w14:paraId="4E8AFA49">
            <w:pPr>
              <w:spacing w:line="580" w:lineRule="exact"/>
              <w:jc w:val="center"/>
              <w:rPr>
                <w:rFonts w:ascii="Times New Roman" w:hAnsi="Times New Roman" w:eastAsia="仿宋_GB2312"/>
                <w:sz w:val="24"/>
              </w:rPr>
            </w:pPr>
            <w:r>
              <w:rPr>
                <w:rFonts w:ascii="Times New Roman" w:hAnsi="Times New Roman" w:eastAsia="仿宋_GB2312"/>
                <w:sz w:val="24"/>
              </w:rPr>
              <w:t>20.00</w:t>
            </w:r>
          </w:p>
        </w:tc>
      </w:tr>
      <w:tr w14:paraId="7472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381B6DB7">
            <w:pPr>
              <w:spacing w:line="580" w:lineRule="exact"/>
              <w:jc w:val="center"/>
              <w:rPr>
                <w:rFonts w:ascii="Times New Roman" w:hAnsi="Times New Roman" w:eastAsia="仿宋_GB2312"/>
                <w:sz w:val="24"/>
              </w:rPr>
            </w:pPr>
            <w:r>
              <w:rPr>
                <w:rFonts w:ascii="Times New Roman" w:hAnsi="Times New Roman" w:eastAsia="仿宋_GB2312"/>
                <w:sz w:val="24"/>
              </w:rPr>
              <w:t>电子税务局</w:t>
            </w:r>
          </w:p>
        </w:tc>
        <w:tc>
          <w:tcPr>
            <w:tcW w:w="1276" w:type="dxa"/>
            <w:vAlign w:val="center"/>
          </w:tcPr>
          <w:p w14:paraId="630E8821">
            <w:pPr>
              <w:spacing w:line="580" w:lineRule="exact"/>
              <w:jc w:val="center"/>
              <w:rPr>
                <w:rFonts w:ascii="Times New Roman" w:hAnsi="Times New Roman" w:eastAsia="仿宋_GB2312"/>
                <w:sz w:val="24"/>
                <w:szCs w:val="22"/>
              </w:rPr>
            </w:pPr>
            <w:r>
              <w:rPr>
                <w:rFonts w:ascii="Times New Roman" w:hAnsi="Times New Roman" w:eastAsia="仿宋_GB2312"/>
                <w:sz w:val="24"/>
              </w:rPr>
              <w:t>35.00</w:t>
            </w:r>
          </w:p>
        </w:tc>
        <w:tc>
          <w:tcPr>
            <w:tcW w:w="992" w:type="dxa"/>
            <w:vAlign w:val="center"/>
          </w:tcPr>
          <w:p w14:paraId="377579CB">
            <w:pPr>
              <w:spacing w:line="580" w:lineRule="exact"/>
              <w:jc w:val="center"/>
              <w:rPr>
                <w:rFonts w:ascii="Times New Roman" w:hAnsi="Times New Roman" w:eastAsia="仿宋_GB2312"/>
                <w:sz w:val="24"/>
              </w:rPr>
            </w:pPr>
          </w:p>
        </w:tc>
        <w:tc>
          <w:tcPr>
            <w:tcW w:w="1210" w:type="dxa"/>
            <w:vAlign w:val="center"/>
          </w:tcPr>
          <w:p w14:paraId="5B0A79B6">
            <w:pPr>
              <w:spacing w:line="580" w:lineRule="exact"/>
              <w:jc w:val="center"/>
              <w:rPr>
                <w:rFonts w:ascii="Times New Roman" w:hAnsi="Times New Roman" w:eastAsia="仿宋_GB2312"/>
                <w:sz w:val="24"/>
              </w:rPr>
            </w:pPr>
          </w:p>
        </w:tc>
        <w:tc>
          <w:tcPr>
            <w:tcW w:w="1210" w:type="dxa"/>
            <w:vAlign w:val="center"/>
          </w:tcPr>
          <w:p w14:paraId="4A8C7990">
            <w:pPr>
              <w:spacing w:line="580" w:lineRule="exact"/>
              <w:jc w:val="center"/>
              <w:rPr>
                <w:rFonts w:ascii="Times New Roman" w:hAnsi="Times New Roman" w:eastAsia="仿宋_GB2312"/>
                <w:sz w:val="24"/>
              </w:rPr>
            </w:pPr>
          </w:p>
        </w:tc>
        <w:tc>
          <w:tcPr>
            <w:tcW w:w="982" w:type="dxa"/>
            <w:vAlign w:val="center"/>
          </w:tcPr>
          <w:p w14:paraId="4021E845">
            <w:pPr>
              <w:spacing w:line="580" w:lineRule="exact"/>
              <w:jc w:val="center"/>
              <w:rPr>
                <w:rFonts w:ascii="Times New Roman" w:hAnsi="Times New Roman" w:eastAsia="仿宋_GB2312"/>
                <w:sz w:val="24"/>
              </w:rPr>
            </w:pPr>
            <w:r>
              <w:rPr>
                <w:rFonts w:ascii="Times New Roman" w:hAnsi="Times New Roman" w:eastAsia="仿宋_GB2312"/>
                <w:sz w:val="24"/>
              </w:rPr>
              <w:t>35.00</w:t>
            </w:r>
          </w:p>
        </w:tc>
      </w:tr>
      <w:tr w14:paraId="57DF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0349429A">
            <w:pPr>
              <w:spacing w:line="580" w:lineRule="exact"/>
              <w:jc w:val="center"/>
              <w:rPr>
                <w:rFonts w:ascii="Times New Roman" w:hAnsi="Times New Roman" w:eastAsia="仿宋_GB2312"/>
                <w:sz w:val="24"/>
              </w:rPr>
            </w:pPr>
            <w:r>
              <w:rPr>
                <w:rFonts w:ascii="Times New Roman" w:hAnsi="Times New Roman" w:eastAsia="仿宋_GB2312"/>
                <w:sz w:val="24"/>
              </w:rPr>
              <w:t>自然人税收管理系统</w:t>
            </w:r>
          </w:p>
        </w:tc>
        <w:tc>
          <w:tcPr>
            <w:tcW w:w="1276" w:type="dxa"/>
            <w:vAlign w:val="center"/>
          </w:tcPr>
          <w:p w14:paraId="1EAC5FE0">
            <w:pPr>
              <w:spacing w:line="580" w:lineRule="exact"/>
              <w:jc w:val="center"/>
              <w:rPr>
                <w:rFonts w:ascii="Times New Roman" w:hAnsi="Times New Roman" w:eastAsia="仿宋_GB2312"/>
                <w:sz w:val="24"/>
                <w:szCs w:val="22"/>
              </w:rPr>
            </w:pPr>
            <w:r>
              <w:rPr>
                <w:rFonts w:ascii="Times New Roman" w:hAnsi="Times New Roman" w:eastAsia="仿宋_GB2312"/>
                <w:sz w:val="24"/>
              </w:rPr>
              <w:t>10.00</w:t>
            </w:r>
          </w:p>
        </w:tc>
        <w:tc>
          <w:tcPr>
            <w:tcW w:w="992" w:type="dxa"/>
            <w:vAlign w:val="center"/>
          </w:tcPr>
          <w:p w14:paraId="44BEDE55">
            <w:pPr>
              <w:spacing w:line="580" w:lineRule="exact"/>
              <w:jc w:val="center"/>
              <w:rPr>
                <w:rFonts w:ascii="Times New Roman" w:hAnsi="Times New Roman" w:eastAsia="仿宋_GB2312"/>
                <w:sz w:val="24"/>
              </w:rPr>
            </w:pPr>
          </w:p>
        </w:tc>
        <w:tc>
          <w:tcPr>
            <w:tcW w:w="1210" w:type="dxa"/>
            <w:vAlign w:val="center"/>
          </w:tcPr>
          <w:p w14:paraId="00B382AF">
            <w:pPr>
              <w:spacing w:line="580" w:lineRule="exact"/>
              <w:jc w:val="center"/>
              <w:rPr>
                <w:rFonts w:ascii="Times New Roman" w:hAnsi="Times New Roman" w:eastAsia="仿宋_GB2312"/>
                <w:sz w:val="24"/>
              </w:rPr>
            </w:pPr>
          </w:p>
        </w:tc>
        <w:tc>
          <w:tcPr>
            <w:tcW w:w="1210" w:type="dxa"/>
            <w:vAlign w:val="center"/>
          </w:tcPr>
          <w:p w14:paraId="4B0100D7">
            <w:pPr>
              <w:spacing w:line="580" w:lineRule="exact"/>
              <w:jc w:val="center"/>
              <w:rPr>
                <w:rFonts w:ascii="Times New Roman" w:hAnsi="Times New Roman" w:eastAsia="仿宋_GB2312"/>
                <w:sz w:val="24"/>
              </w:rPr>
            </w:pPr>
          </w:p>
        </w:tc>
        <w:tc>
          <w:tcPr>
            <w:tcW w:w="982" w:type="dxa"/>
            <w:vAlign w:val="center"/>
          </w:tcPr>
          <w:p w14:paraId="571E2A4E">
            <w:pPr>
              <w:spacing w:line="580" w:lineRule="exact"/>
              <w:jc w:val="center"/>
              <w:rPr>
                <w:rFonts w:ascii="Times New Roman" w:hAnsi="Times New Roman" w:eastAsia="仿宋_GB2312"/>
                <w:sz w:val="24"/>
              </w:rPr>
            </w:pPr>
            <w:r>
              <w:rPr>
                <w:rFonts w:ascii="Times New Roman" w:hAnsi="Times New Roman" w:eastAsia="仿宋_GB2312"/>
                <w:sz w:val="24"/>
              </w:rPr>
              <w:t>10.00</w:t>
            </w:r>
          </w:p>
        </w:tc>
      </w:tr>
      <w:tr w14:paraId="77D8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57" w:type="dxa"/>
            <w:vAlign w:val="center"/>
          </w:tcPr>
          <w:p w14:paraId="484CC6E2">
            <w:pPr>
              <w:spacing w:line="580" w:lineRule="exact"/>
              <w:jc w:val="center"/>
              <w:rPr>
                <w:rFonts w:ascii="Times New Roman" w:hAnsi="Times New Roman" w:eastAsia="仿宋_GB2312"/>
                <w:sz w:val="24"/>
              </w:rPr>
            </w:pPr>
            <w:r>
              <w:rPr>
                <w:rFonts w:ascii="Times New Roman" w:hAnsi="Times New Roman" w:eastAsia="仿宋_GB2312"/>
                <w:sz w:val="24"/>
              </w:rPr>
              <w:t>增值税发票综合服务平台</w:t>
            </w:r>
          </w:p>
        </w:tc>
        <w:tc>
          <w:tcPr>
            <w:tcW w:w="1276" w:type="dxa"/>
            <w:vAlign w:val="center"/>
          </w:tcPr>
          <w:p w14:paraId="11C522A2">
            <w:pPr>
              <w:spacing w:line="580" w:lineRule="exact"/>
              <w:jc w:val="center"/>
              <w:rPr>
                <w:rFonts w:ascii="Times New Roman" w:hAnsi="Times New Roman" w:eastAsia="仿宋_GB2312"/>
                <w:sz w:val="24"/>
              </w:rPr>
            </w:pPr>
          </w:p>
        </w:tc>
        <w:tc>
          <w:tcPr>
            <w:tcW w:w="992" w:type="dxa"/>
            <w:vAlign w:val="center"/>
          </w:tcPr>
          <w:p w14:paraId="154F3A8B">
            <w:pPr>
              <w:spacing w:line="580" w:lineRule="exact"/>
              <w:jc w:val="center"/>
              <w:rPr>
                <w:rFonts w:ascii="Times New Roman" w:hAnsi="Times New Roman" w:eastAsia="仿宋_GB2312"/>
                <w:sz w:val="24"/>
              </w:rPr>
            </w:pPr>
          </w:p>
        </w:tc>
        <w:tc>
          <w:tcPr>
            <w:tcW w:w="1210" w:type="dxa"/>
            <w:vAlign w:val="center"/>
          </w:tcPr>
          <w:p w14:paraId="27A1D391">
            <w:pPr>
              <w:spacing w:line="580" w:lineRule="exact"/>
              <w:jc w:val="center"/>
              <w:rPr>
                <w:rFonts w:ascii="Times New Roman" w:hAnsi="Times New Roman" w:eastAsia="仿宋_GB2312"/>
                <w:sz w:val="24"/>
              </w:rPr>
            </w:pPr>
            <w:r>
              <w:rPr>
                <w:rFonts w:ascii="Times New Roman" w:hAnsi="Times New Roman" w:eastAsia="仿宋_GB2312"/>
                <w:sz w:val="24"/>
              </w:rPr>
              <w:t>8.00</w:t>
            </w:r>
          </w:p>
        </w:tc>
        <w:tc>
          <w:tcPr>
            <w:tcW w:w="1210" w:type="dxa"/>
            <w:vAlign w:val="center"/>
          </w:tcPr>
          <w:p w14:paraId="4AE19D29">
            <w:pPr>
              <w:spacing w:line="580" w:lineRule="exact"/>
              <w:jc w:val="center"/>
              <w:rPr>
                <w:rFonts w:ascii="Times New Roman" w:hAnsi="Times New Roman" w:eastAsia="仿宋_GB2312"/>
                <w:sz w:val="24"/>
              </w:rPr>
            </w:pPr>
          </w:p>
        </w:tc>
        <w:tc>
          <w:tcPr>
            <w:tcW w:w="982" w:type="dxa"/>
            <w:vAlign w:val="center"/>
          </w:tcPr>
          <w:p w14:paraId="04C3CCA4">
            <w:pPr>
              <w:spacing w:line="580" w:lineRule="exact"/>
              <w:jc w:val="center"/>
              <w:rPr>
                <w:rFonts w:ascii="Times New Roman" w:hAnsi="Times New Roman" w:eastAsia="仿宋_GB2312"/>
                <w:sz w:val="24"/>
              </w:rPr>
            </w:pPr>
            <w:r>
              <w:rPr>
                <w:rFonts w:ascii="Times New Roman" w:hAnsi="Times New Roman" w:eastAsia="仿宋_GB2312"/>
                <w:sz w:val="24"/>
              </w:rPr>
              <w:t>8.00</w:t>
            </w:r>
          </w:p>
        </w:tc>
      </w:tr>
      <w:tr w14:paraId="551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57" w:type="dxa"/>
            <w:vAlign w:val="center"/>
          </w:tcPr>
          <w:p w14:paraId="4B71121F">
            <w:pPr>
              <w:spacing w:line="580" w:lineRule="exact"/>
              <w:jc w:val="center"/>
              <w:rPr>
                <w:rFonts w:ascii="Times New Roman" w:hAnsi="Times New Roman" w:eastAsia="仿宋_GB2312"/>
                <w:b/>
                <w:bCs/>
                <w:sz w:val="24"/>
              </w:rPr>
            </w:pPr>
            <w:r>
              <w:rPr>
                <w:rFonts w:ascii="Times New Roman" w:hAnsi="Times New Roman" w:eastAsia="仿宋_GB2312"/>
                <w:b/>
                <w:bCs/>
                <w:sz w:val="24"/>
              </w:rPr>
              <w:t>合计</w:t>
            </w:r>
          </w:p>
        </w:tc>
        <w:tc>
          <w:tcPr>
            <w:tcW w:w="1276" w:type="dxa"/>
            <w:vAlign w:val="center"/>
          </w:tcPr>
          <w:p w14:paraId="342435D6">
            <w:pPr>
              <w:spacing w:line="580" w:lineRule="exact"/>
              <w:jc w:val="center"/>
              <w:rPr>
                <w:rFonts w:ascii="Times New Roman" w:hAnsi="Times New Roman" w:eastAsia="仿宋_GB2312"/>
                <w:b/>
                <w:bCs/>
                <w:sz w:val="24"/>
                <w:szCs w:val="22"/>
              </w:rPr>
            </w:pPr>
            <w:r>
              <w:rPr>
                <w:rFonts w:ascii="Times New Roman" w:hAnsi="Times New Roman" w:eastAsia="仿宋_GB2312"/>
                <w:b/>
                <w:bCs/>
                <w:sz w:val="24"/>
              </w:rPr>
              <w:t>100.00</w:t>
            </w:r>
          </w:p>
        </w:tc>
        <w:tc>
          <w:tcPr>
            <w:tcW w:w="992" w:type="dxa"/>
            <w:vAlign w:val="center"/>
          </w:tcPr>
          <w:p w14:paraId="731DCBD3">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1210" w:type="dxa"/>
            <w:vAlign w:val="center"/>
          </w:tcPr>
          <w:p w14:paraId="229AB204">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1210" w:type="dxa"/>
            <w:vAlign w:val="center"/>
          </w:tcPr>
          <w:p w14:paraId="15EE1329">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982" w:type="dxa"/>
            <w:vAlign w:val="center"/>
          </w:tcPr>
          <w:p w14:paraId="103EB535">
            <w:pPr>
              <w:spacing w:line="580" w:lineRule="exact"/>
              <w:jc w:val="center"/>
              <w:rPr>
                <w:rFonts w:ascii="Times New Roman" w:hAnsi="Times New Roman" w:eastAsia="仿宋_GB2312"/>
                <w:b/>
                <w:bCs/>
                <w:sz w:val="24"/>
              </w:rPr>
            </w:pPr>
            <w:r>
              <w:rPr>
                <w:rFonts w:ascii="Times New Roman" w:hAnsi="Times New Roman" w:eastAsia="仿宋_GB2312"/>
                <w:b/>
                <w:bCs/>
                <w:sz w:val="24"/>
              </w:rPr>
              <w:t>400.00</w:t>
            </w:r>
          </w:p>
        </w:tc>
      </w:tr>
    </w:tbl>
    <w:p w14:paraId="6D1EE45E">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六、竞赛流程</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3650"/>
        <w:gridCol w:w="2405"/>
      </w:tblGrid>
      <w:tr w14:paraId="004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Align w:val="center"/>
          </w:tcPr>
          <w:p w14:paraId="69F0418C">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时 间</w:t>
            </w:r>
          </w:p>
        </w:tc>
        <w:tc>
          <w:tcPr>
            <w:tcW w:w="3650" w:type="dxa"/>
            <w:vAlign w:val="center"/>
          </w:tcPr>
          <w:p w14:paraId="1E4AA488">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内 容</w:t>
            </w:r>
          </w:p>
        </w:tc>
        <w:tc>
          <w:tcPr>
            <w:tcW w:w="2405" w:type="dxa"/>
            <w:vAlign w:val="center"/>
          </w:tcPr>
          <w:p w14:paraId="396E3F6A">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备 注</w:t>
            </w:r>
          </w:p>
        </w:tc>
      </w:tr>
      <w:tr w14:paraId="17A4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Merge w:val="restart"/>
            <w:vAlign w:val="center"/>
          </w:tcPr>
          <w:p w14:paraId="38CD60B1">
            <w:pPr>
              <w:spacing w:line="580" w:lineRule="exact"/>
              <w:jc w:val="center"/>
              <w:rPr>
                <w:rFonts w:ascii="Times New Roman" w:hAnsi="Times New Roman" w:eastAsia="仿宋_GB2312"/>
                <w:kern w:val="0"/>
                <w:sz w:val="24"/>
              </w:rPr>
            </w:pPr>
            <w:r>
              <w:rPr>
                <w:rFonts w:ascii="Times New Roman" w:hAnsi="Times New Roman" w:eastAsia="仿宋_GB2312"/>
                <w:bCs/>
                <w:snapToGrid w:val="0"/>
                <w:color w:val="000000"/>
                <w:spacing w:val="-2"/>
                <w:sz w:val="24"/>
              </w:rPr>
              <w:t>比赛</w:t>
            </w:r>
            <w:r>
              <w:rPr>
                <w:rFonts w:ascii="Times New Roman" w:hAnsi="Times New Roman" w:eastAsia="仿宋_GB2312"/>
                <w:bCs/>
                <w:snapToGrid w:val="0"/>
                <w:color w:val="000000"/>
                <w:spacing w:val="-1"/>
                <w:sz w:val="24"/>
              </w:rPr>
              <w:t>当天</w:t>
            </w:r>
          </w:p>
        </w:tc>
        <w:tc>
          <w:tcPr>
            <w:tcW w:w="3650" w:type="dxa"/>
            <w:vAlign w:val="center"/>
          </w:tcPr>
          <w:p w14:paraId="6F53E773">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选手检录</w:t>
            </w:r>
          </w:p>
        </w:tc>
        <w:tc>
          <w:tcPr>
            <w:tcW w:w="2405" w:type="dxa"/>
            <w:vAlign w:val="center"/>
          </w:tcPr>
          <w:p w14:paraId="4940823C">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08:30—09:00</w:t>
            </w:r>
          </w:p>
        </w:tc>
      </w:tr>
      <w:tr w14:paraId="4157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592" w:type="dxa"/>
            <w:vMerge w:val="continue"/>
            <w:vAlign w:val="center"/>
          </w:tcPr>
          <w:p w14:paraId="00118444">
            <w:pPr>
              <w:spacing w:line="580" w:lineRule="exact"/>
              <w:jc w:val="center"/>
              <w:rPr>
                <w:rFonts w:ascii="Times New Roman" w:hAnsi="Times New Roman" w:eastAsia="仿宋_GB2312"/>
                <w:kern w:val="0"/>
                <w:sz w:val="24"/>
              </w:rPr>
            </w:pPr>
          </w:p>
        </w:tc>
        <w:tc>
          <w:tcPr>
            <w:tcW w:w="3650" w:type="dxa"/>
            <w:vAlign w:val="center"/>
          </w:tcPr>
          <w:p w14:paraId="27EA8C7D">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财会职业技能拓展赛项竞赛</w:t>
            </w:r>
          </w:p>
        </w:tc>
        <w:tc>
          <w:tcPr>
            <w:tcW w:w="2405" w:type="dxa"/>
            <w:vAlign w:val="center"/>
          </w:tcPr>
          <w:p w14:paraId="452ED977">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09:00—12:00</w:t>
            </w:r>
          </w:p>
        </w:tc>
      </w:tr>
      <w:tr w14:paraId="24EA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592" w:type="dxa"/>
            <w:vMerge w:val="continue"/>
            <w:vAlign w:val="center"/>
          </w:tcPr>
          <w:p w14:paraId="61A40601">
            <w:pPr>
              <w:spacing w:line="580" w:lineRule="exact"/>
              <w:jc w:val="center"/>
              <w:rPr>
                <w:rFonts w:ascii="Times New Roman" w:hAnsi="Times New Roman" w:eastAsia="仿宋_GB2312"/>
                <w:kern w:val="0"/>
                <w:sz w:val="24"/>
              </w:rPr>
            </w:pPr>
          </w:p>
        </w:tc>
        <w:tc>
          <w:tcPr>
            <w:tcW w:w="3650" w:type="dxa"/>
            <w:vAlign w:val="center"/>
          </w:tcPr>
          <w:p w14:paraId="4FC9B4A5">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公布成绩</w:t>
            </w:r>
          </w:p>
        </w:tc>
        <w:tc>
          <w:tcPr>
            <w:tcW w:w="2405" w:type="dxa"/>
            <w:vAlign w:val="center"/>
          </w:tcPr>
          <w:p w14:paraId="363E0200">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14:00—14:30</w:t>
            </w:r>
          </w:p>
        </w:tc>
      </w:tr>
    </w:tbl>
    <w:p w14:paraId="7D0F59E5">
      <w:pPr>
        <w:tabs>
          <w:tab w:val="left" w:pos="553"/>
        </w:tabs>
        <w:snapToGrid w:val="0"/>
        <w:spacing w:before="156" w:beforeLines="50"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七、竞赛规则</w:t>
      </w:r>
    </w:p>
    <w:p w14:paraId="2A0DACC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1.参赛选手应认真学习领会本次竞赛相关文件，自觉遵守大赛纪律，服从指挥，听从安排，文明参赛。</w:t>
      </w:r>
    </w:p>
    <w:p w14:paraId="1DAA0C7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2.参赛选手请勿携带与竞赛无关的电子设备、通讯设备及其他相关资料与用品，自带没有文字存储功能的计算器。</w:t>
      </w:r>
    </w:p>
    <w:p w14:paraId="2186C60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3.参赛选手应提前30分钟到达赛场，凭参赛证、身份证检录，按要求入场，不得迟到、早退。</w:t>
      </w:r>
    </w:p>
    <w:p w14:paraId="7F544D3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4.参赛选手应增强角色意识，严格执行会计及税务法律法规，按照要求，科学合理分工与合作。</w:t>
      </w:r>
    </w:p>
    <w:p w14:paraId="2819A19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5.参赛选手应按要求在指定位置就坐，竞赛前一天通过抽签，确定每个参赛团队的台位号。</w:t>
      </w:r>
    </w:p>
    <w:p w14:paraId="243D3DE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竞赛过程中，参赛团队内部选手之间可以相互沟通，但不得影响其他团队，如有疑问、遇设备或软件等故障，参赛选手应举手示意，项目裁判、技术人员等应及时予以解决。确因计算机软件或硬件故障，致使操作无法继续的，经项目裁判确认，予以启用备用计算机。</w:t>
      </w:r>
    </w:p>
    <w:p w14:paraId="55AC2D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选手在竞赛过程中不得擅自离开赛场，如有特殊情况，需经裁判人员同意。竞赛时间终了，选手应全体起立，结束操作，将资料和工具整齐摆放在操作平台上，经工作人员清点后方可离开赛场，离开赛场时不得带走任何资料。</w:t>
      </w:r>
    </w:p>
    <w:p w14:paraId="2F2F45B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8.参赛代表队若对赛事有异议，可由领队按规程提出书面申诉。</w:t>
      </w:r>
    </w:p>
    <w:p w14:paraId="760190A5">
      <w:pPr>
        <w:tabs>
          <w:tab w:val="left" w:pos="553"/>
        </w:tabs>
        <w:snapToGrid w:val="0"/>
        <w:spacing w:before="156" w:beforeLines="50" w:line="580" w:lineRule="exact"/>
        <w:ind w:firstLine="643" w:firstLineChars="200"/>
        <w:rPr>
          <w:rFonts w:ascii="Times New Roman" w:hAnsi="Times New Roman" w:eastAsia="黑体"/>
          <w:sz w:val="32"/>
          <w:szCs w:val="32"/>
        </w:rPr>
      </w:pPr>
      <w:bookmarkStart w:id="3" w:name="_Toc18873"/>
      <w:r>
        <w:rPr>
          <w:rFonts w:ascii="Times New Roman" w:hAnsi="Times New Roman" w:eastAsia="黑体"/>
          <w:b/>
          <w:sz w:val="32"/>
          <w:szCs w:val="32"/>
        </w:rPr>
        <w:t>八、技术规范</w:t>
      </w:r>
    </w:p>
    <w:bookmarkEnd w:id="3"/>
    <w:p w14:paraId="38F9AA38">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（一）教学标准</w:t>
      </w:r>
    </w:p>
    <w:p w14:paraId="7A9093A2">
      <w:pPr>
        <w:snapToGrid w:val="0"/>
        <w:spacing w:line="580" w:lineRule="exact"/>
        <w:ind w:firstLine="640" w:firstLineChars="200"/>
        <w:rPr>
          <w:rFonts w:ascii="Times New Roman" w:hAnsi="Times New Roman" w:eastAsia="仿宋_GB2312"/>
          <w:sz w:val="30"/>
          <w:szCs w:val="30"/>
        </w:rPr>
      </w:pPr>
      <w:r>
        <w:rPr>
          <w:rFonts w:ascii="Times New Roman" w:hAnsi="Times New Roman" w:eastAsia="仿宋_GB2312"/>
          <w:sz w:val="32"/>
          <w:szCs w:val="32"/>
        </w:rPr>
        <w:t>高等职业教育财会相关专业教学资源库建设的“专业标准”“课程标准”为基本范围和基本要求，税收法律法规及税收政策以202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年12月31日之前正式发布为准。</w:t>
      </w:r>
    </w:p>
    <w:p w14:paraId="5D7C5F2C">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（二）竞赛场地及环境</w:t>
      </w:r>
    </w:p>
    <w:p w14:paraId="3155F496">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竞赛场地需按实际参赛队伍数量及参赛选手人数预置相应的工作台位，每位参赛选手1个台位，同时设置足够的备用台位。</w:t>
      </w:r>
    </w:p>
    <w:p w14:paraId="4E80C44C">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（三）竞赛使用设备、用具及软件</w:t>
      </w:r>
    </w:p>
    <w:p w14:paraId="236C6881">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1.竞赛平台：科云财会职业能力养成平台软件</w:t>
      </w:r>
    </w:p>
    <w:p w14:paraId="683EA637">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2.服务器：普通服务器</w:t>
      </w:r>
    </w:p>
    <w:p w14:paraId="6490F958">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3.客户端电脑：普通电脑</w:t>
      </w:r>
    </w:p>
    <w:p w14:paraId="3EDD5562">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4.其他竞赛设备：备用电脑、财会工具</w:t>
      </w:r>
    </w:p>
    <w:p w14:paraId="6CB68AD0">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5.UPS保障：后备时间3小时。</w:t>
      </w:r>
    </w:p>
    <w:p w14:paraId="78EB754B">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（四）特殊情况以大赛规程和赛前说明会确定为准。</w:t>
      </w:r>
    </w:p>
    <w:p w14:paraId="18B80B5A"/>
    <w:p w14:paraId="34C570E2">
      <w:pPr>
        <w:pStyle w:val="4"/>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DC77C-64FD-4AA6-BF48-7C6794CA0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6DFC418-9F0C-4B96-B75C-9AEC9670CC04}"/>
  </w:font>
  <w:font w:name="方正小标宋_GBK">
    <w:panose1 w:val="03000509000000000000"/>
    <w:charset w:val="86"/>
    <w:family w:val="auto"/>
    <w:pitch w:val="default"/>
    <w:sig w:usb0="00000001" w:usb1="080E0000" w:usb2="00000000" w:usb3="00000000" w:csb0="00040000" w:csb1="00000000"/>
    <w:embedRegular r:id="rId3" w:fontKey="{7057406D-4D99-45DC-A073-636805D72C76}"/>
  </w:font>
  <w:font w:name="方正仿宋_GBK">
    <w:panose1 w:val="02000000000000000000"/>
    <w:charset w:val="86"/>
    <w:family w:val="auto"/>
    <w:pitch w:val="default"/>
    <w:sig w:usb0="00000001" w:usb1="080E0000" w:usb2="00000000" w:usb3="00000000" w:csb0="00040000" w:csb1="00000000"/>
    <w:embedRegular r:id="rId4" w:fontKey="{66DF59A8-137B-40ED-A74D-66103C874128}"/>
  </w:font>
  <w:font w:name="仿宋_GB2312">
    <w:panose1 w:val="02010609030101010101"/>
    <w:charset w:val="86"/>
    <w:family w:val="modern"/>
    <w:pitch w:val="default"/>
    <w:sig w:usb0="00000001" w:usb1="080E0000" w:usb2="00000000" w:usb3="00000000" w:csb0="00040000" w:csb1="00000000"/>
    <w:embedRegular r:id="rId5" w:fontKey="{915FA209-7F27-4049-AC97-82196B9DC0C4}"/>
  </w:font>
  <w:font w:name="楷体">
    <w:panose1 w:val="02010609060101010101"/>
    <w:charset w:val="86"/>
    <w:family w:val="modern"/>
    <w:pitch w:val="default"/>
    <w:sig w:usb0="800002BF" w:usb1="38CF7CFA" w:usb2="00000016" w:usb3="00000000" w:csb0="00040001" w:csb1="00000000"/>
    <w:embedRegular r:id="rId6" w:fontKey="{D01C51A2-A1F5-49D5-B8AC-702FBAFD2EE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70201"/>
    <w:multiLevelType w:val="singleLevel"/>
    <w:tmpl w:val="0C0702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YzUyNGEyZTUzNGE5MWM2MzU1NTcxOWQyY2MzYzYifQ=="/>
  </w:docVars>
  <w:rsids>
    <w:rsidRoot w:val="3463684F"/>
    <w:rsid w:val="029F5DE8"/>
    <w:rsid w:val="04A5674C"/>
    <w:rsid w:val="2C881EE0"/>
    <w:rsid w:val="30BF65F3"/>
    <w:rsid w:val="3463684F"/>
    <w:rsid w:val="3495312E"/>
    <w:rsid w:val="4C17187D"/>
    <w:rsid w:val="55301E13"/>
    <w:rsid w:val="5E663E73"/>
    <w:rsid w:val="67632753"/>
    <w:rsid w:val="692C6404"/>
    <w:rsid w:val="6D611989"/>
    <w:rsid w:val="6FCD6705"/>
    <w:rsid w:val="71EE0EE5"/>
    <w:rsid w:val="7AAA7FE9"/>
    <w:rsid w:val="7F18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First Indent"/>
    <w:basedOn w:val="3"/>
    <w:unhideWhenUsed/>
    <w:qFormat/>
    <w:uiPriority w:val="99"/>
    <w:pPr>
      <w:widowControl/>
      <w:kinsoku w:val="0"/>
      <w:autoSpaceDE w:val="0"/>
      <w:autoSpaceDN w:val="0"/>
      <w:adjustRightInd w:val="0"/>
      <w:snapToGrid w:val="0"/>
      <w:spacing w:after="0"/>
      <w:ind w:firstLine="420" w:firstLineChars="100"/>
      <w:jc w:val="left"/>
      <w:textAlignment w:val="baseline"/>
    </w:pPr>
    <w:rPr>
      <w:rFonts w:ascii="仿宋" w:hAnsi="仿宋" w:eastAsia="仿宋" w:cs="仿宋"/>
      <w:snapToGrid w:val="0"/>
      <w:color w:val="000000"/>
      <w:kern w:val="0"/>
      <w:sz w:val="28"/>
      <w:szCs w:val="28"/>
      <w:lang w:eastAsia="en-US"/>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5178</Words>
  <Characters>5457</Characters>
  <Lines>0</Lines>
  <Paragraphs>0</Paragraphs>
  <TotalTime>0</TotalTime>
  <ScaleCrop>false</ScaleCrop>
  <LinksUpToDate>false</LinksUpToDate>
  <CharactersWithSpaces>5462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2024-09-30T13:23:00Z</dcterms:created>
  <dc:creator>Administrator</dc:creator>
  <cp:lastModifiedBy>陈妍</cp:lastModifiedBy>
  <cp:lastPrinted>2024-12-16T12:38:00Z</cp:lastPrinted>
  <dcterms:modified xsi:type="dcterms:W3CDTF">2025-05-15T05:58:11Z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BE193523D2CF41CD9D6A97A88FED7F38_13</vt:lpwstr>
  </property>
  <property fmtid="{D5CDD505-2E9C-101B-9397-08002B2CF9AE}" pid="4" name="KSOTemplateDocerSaveRecord">
    <vt:lpwstr>eyJoZGlkIjoiNmJlMGE4ZTE2YWY4NTc4YmE3MzFlNGVhZmI4OWZkOTciLCJ1c2VySWQiOiI1NzY0ODk0NjQifQ==</vt:lpwstr>
  </property>
</Properties>
</file>