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ind w:firstLine="800" w:firstLineChars="200"/>
        <w:jc w:val="center"/>
        <w:rPr>
          <w:rFonts w:hint="eastAsia" w:ascii="华文中宋" w:hAnsi="华文中宋" w:eastAsia="华文中宋" w:cs="华文中宋"/>
          <w:b w:val="0"/>
          <w:bCs w:val="0"/>
          <w:color w:val="000000"/>
          <w:spacing w:val="20"/>
          <w:sz w:val="36"/>
          <w:szCs w:val="36"/>
        </w:rPr>
      </w:pPr>
      <w:r>
        <w:rPr>
          <w:rFonts w:hint="eastAsia" w:ascii="华文中宋" w:hAnsi="华文中宋" w:eastAsia="华文中宋" w:cs="华文中宋"/>
          <w:b w:val="0"/>
          <w:bCs w:val="0"/>
          <w:color w:val="000000"/>
          <w:spacing w:val="20"/>
          <w:sz w:val="36"/>
          <w:szCs w:val="36"/>
        </w:rPr>
        <w:t>安徽电子信息职业技</w:t>
      </w:r>
      <w:r>
        <w:rPr>
          <w:rFonts w:hint="eastAsia" w:ascii="华文中宋" w:hAnsi="华文中宋" w:eastAsia="华文中宋" w:cs="华文中宋"/>
          <w:b w:val="0"/>
          <w:bCs w:val="0"/>
          <w:color w:val="000000"/>
          <w:spacing w:val="20"/>
          <w:sz w:val="36"/>
          <w:szCs w:val="36"/>
        </w:rPr>
        <w:t>术学院</w:t>
      </w:r>
    </w:p>
    <w:p>
      <w:pPr>
        <w:tabs>
          <w:tab w:val="left" w:pos="420"/>
        </w:tabs>
        <w:ind w:firstLine="800" w:firstLineChars="200"/>
        <w:jc w:val="center"/>
        <w:rPr>
          <w:rFonts w:hint="eastAsia" w:ascii="华文中宋" w:hAnsi="华文中宋" w:eastAsia="华文中宋" w:cs="华文中宋"/>
          <w:b w:val="0"/>
          <w:bCs w:val="0"/>
          <w:color w:val="000000"/>
          <w:spacing w:val="36"/>
          <w:sz w:val="36"/>
          <w:szCs w:val="36"/>
          <w14:shadow w14:blurRad="50800" w14:dist="38100" w14:dir="2700000" w14:sx="100000" w14:sy="100000" w14:kx="0" w14:ky="0" w14:algn="tl">
            <w14:srgbClr w14:val="000000">
              <w14:alpha w14:val="60000"/>
            </w14:srgbClr>
          </w14:shadow>
        </w:rPr>
      </w:pPr>
      <w:r>
        <w:rPr>
          <w:rFonts w:hint="eastAsia" w:ascii="华文中宋" w:hAnsi="华文中宋" w:eastAsia="华文中宋" w:cs="华文中宋"/>
          <w:b w:val="0"/>
          <w:bCs w:val="0"/>
          <w:color w:val="000000"/>
          <w:spacing w:val="20"/>
          <w:sz w:val="36"/>
          <w:szCs w:val="36"/>
        </w:rPr>
        <w:t>校园超市经营服务项目竞争性谈判文件</w:t>
      </w:r>
    </w:p>
    <w:p>
      <w:pPr>
        <w:spacing w:line="360" w:lineRule="auto"/>
        <w:ind w:firstLine="472" w:firstLineChars="196"/>
        <w:rPr>
          <w:rFonts w:ascii="宋体" w:hAnsi="宋体"/>
          <w:b/>
          <w:color w:val="000000"/>
          <w:sz w:val="24"/>
        </w:rPr>
      </w:pPr>
      <w:r>
        <w:rPr>
          <w:rFonts w:hint="eastAsia" w:ascii="宋体" w:hAnsi="宋体"/>
          <w:b/>
          <w:color w:val="000000"/>
          <w:sz w:val="24"/>
        </w:rPr>
        <w:t>一、响应文件构成与格式</w:t>
      </w:r>
    </w:p>
    <w:p>
      <w:pPr>
        <w:spacing w:line="360" w:lineRule="auto"/>
        <w:ind w:firstLine="470" w:firstLineChars="196"/>
        <w:rPr>
          <w:rFonts w:ascii="宋体" w:hAnsi="宋体"/>
          <w:color w:val="000000"/>
          <w:sz w:val="24"/>
        </w:rPr>
      </w:pPr>
      <w:bookmarkStart w:id="0" w:name="_Hlt509650345"/>
      <w:bookmarkEnd w:id="0"/>
      <w:r>
        <w:rPr>
          <w:rFonts w:hint="eastAsia" w:ascii="宋体" w:hAnsi="宋体"/>
          <w:color w:val="000000"/>
          <w:sz w:val="24"/>
        </w:rPr>
        <w:t>1</w:t>
      </w:r>
      <w:r>
        <w:rPr>
          <w:rFonts w:hint="eastAsia" w:ascii="宋体" w:hAnsi="宋体"/>
          <w:color w:val="000000"/>
          <w:sz w:val="24"/>
          <w:lang w:val="en-US" w:eastAsia="zh-CN"/>
        </w:rPr>
        <w:t>.</w:t>
      </w:r>
      <w:r>
        <w:rPr>
          <w:rFonts w:hint="eastAsia" w:ascii="宋体" w:hAnsi="宋体"/>
          <w:color w:val="000000"/>
          <w:sz w:val="24"/>
        </w:rPr>
        <w:t>投标人编写的响应文件应包括但不限于：</w:t>
      </w:r>
    </w:p>
    <w:p>
      <w:pPr>
        <w:spacing w:line="360" w:lineRule="auto"/>
        <w:ind w:firstLine="470" w:firstLineChars="196"/>
        <w:rPr>
          <w:rFonts w:ascii="宋体" w:hAnsi="宋体"/>
          <w:color w:val="000000"/>
          <w:sz w:val="24"/>
        </w:rPr>
      </w:pPr>
      <w:r>
        <w:rPr>
          <w:rFonts w:hint="eastAsia" w:ascii="宋体" w:hAnsi="宋体"/>
          <w:color w:val="000000"/>
          <w:sz w:val="24"/>
        </w:rPr>
        <w:t>（1）资格证明文件</w:t>
      </w:r>
    </w:p>
    <w:p>
      <w:pPr>
        <w:spacing w:line="360" w:lineRule="auto"/>
        <w:ind w:firstLine="470" w:firstLineChars="196"/>
        <w:rPr>
          <w:rFonts w:ascii="宋体" w:hAnsi="宋体"/>
          <w:color w:val="000000"/>
          <w:sz w:val="24"/>
        </w:rPr>
      </w:pPr>
      <w:r>
        <w:rPr>
          <w:rFonts w:hint="eastAsia" w:ascii="宋体" w:hAnsi="宋体"/>
          <w:color w:val="000000"/>
          <w:sz w:val="24"/>
        </w:rPr>
        <w:t>（2）价格文件</w:t>
      </w:r>
    </w:p>
    <w:p>
      <w:pPr>
        <w:spacing w:line="360" w:lineRule="auto"/>
        <w:ind w:firstLine="470" w:firstLineChars="196"/>
        <w:rPr>
          <w:rFonts w:ascii="宋体" w:hAnsi="宋体"/>
          <w:color w:val="000000"/>
          <w:sz w:val="24"/>
        </w:rPr>
      </w:pPr>
      <w:r>
        <w:rPr>
          <w:rFonts w:hint="eastAsia" w:ascii="宋体" w:hAnsi="宋体"/>
          <w:color w:val="000000"/>
          <w:sz w:val="24"/>
        </w:rPr>
        <w:t>（3）技术、质量证明文件</w:t>
      </w:r>
    </w:p>
    <w:p>
      <w:pPr>
        <w:spacing w:line="360" w:lineRule="auto"/>
        <w:ind w:firstLine="470" w:firstLineChars="196"/>
        <w:rPr>
          <w:rFonts w:ascii="宋体" w:hAnsi="宋体"/>
          <w:color w:val="000000"/>
          <w:sz w:val="24"/>
        </w:rPr>
      </w:pPr>
      <w:r>
        <w:rPr>
          <w:rFonts w:hint="eastAsia" w:ascii="宋体" w:hAnsi="宋体"/>
          <w:color w:val="000000"/>
          <w:sz w:val="24"/>
        </w:rPr>
        <w:t>（4）服务证明文件</w:t>
      </w:r>
    </w:p>
    <w:p>
      <w:pPr>
        <w:spacing w:line="360" w:lineRule="auto"/>
        <w:ind w:firstLine="470" w:firstLineChars="196"/>
        <w:rPr>
          <w:rFonts w:ascii="宋体" w:hAnsi="宋体"/>
          <w:color w:val="000000"/>
          <w:sz w:val="24"/>
        </w:rPr>
      </w:pPr>
      <w:r>
        <w:rPr>
          <w:rFonts w:hint="eastAsia" w:ascii="宋体" w:hAnsi="宋体"/>
          <w:color w:val="000000"/>
          <w:sz w:val="24"/>
        </w:rPr>
        <w:t>（5）业绩证明文件</w:t>
      </w:r>
    </w:p>
    <w:p>
      <w:pPr>
        <w:spacing w:line="360" w:lineRule="auto"/>
        <w:ind w:firstLine="470" w:firstLineChars="196"/>
        <w:rPr>
          <w:rFonts w:ascii="宋体" w:hAnsi="宋体"/>
          <w:color w:val="000000"/>
          <w:sz w:val="24"/>
        </w:rPr>
      </w:pPr>
      <w:r>
        <w:rPr>
          <w:rFonts w:hint="eastAsia" w:ascii="宋体" w:hAnsi="宋体"/>
          <w:color w:val="000000"/>
          <w:sz w:val="24"/>
        </w:rPr>
        <w:t>（6）财务证明文件</w:t>
      </w:r>
    </w:p>
    <w:p>
      <w:pPr>
        <w:spacing w:line="360" w:lineRule="auto"/>
        <w:ind w:firstLine="470" w:firstLineChars="196"/>
        <w:rPr>
          <w:rFonts w:ascii="宋体" w:hAnsi="宋体"/>
          <w:color w:val="000000"/>
          <w:sz w:val="24"/>
        </w:rPr>
      </w:pPr>
      <w:r>
        <w:rPr>
          <w:rFonts w:hint="eastAsia" w:ascii="宋体" w:hAnsi="宋体"/>
          <w:color w:val="000000"/>
          <w:sz w:val="24"/>
        </w:rPr>
        <w:t>（7）其它资质证明文件</w:t>
      </w:r>
    </w:p>
    <w:p>
      <w:pPr>
        <w:spacing w:line="360" w:lineRule="auto"/>
        <w:ind w:firstLine="470" w:firstLineChars="196"/>
        <w:rPr>
          <w:rFonts w:ascii="宋体" w:hAnsi="宋体"/>
          <w:color w:val="000000"/>
          <w:sz w:val="24"/>
        </w:rPr>
      </w:pPr>
      <w:r>
        <w:rPr>
          <w:rFonts w:hint="eastAsia" w:ascii="宋体" w:hAnsi="宋体"/>
          <w:color w:val="000000"/>
          <w:sz w:val="24"/>
        </w:rPr>
        <w:t>2</w:t>
      </w:r>
      <w:r>
        <w:rPr>
          <w:rFonts w:hint="eastAsia" w:ascii="宋体" w:hAnsi="宋体"/>
          <w:color w:val="000000"/>
          <w:sz w:val="24"/>
          <w:lang w:val="en-US" w:eastAsia="zh-CN"/>
        </w:rPr>
        <w:t>.</w:t>
      </w:r>
      <w:r>
        <w:rPr>
          <w:rFonts w:hint="eastAsia" w:ascii="宋体" w:hAnsi="宋体"/>
          <w:color w:val="000000"/>
          <w:sz w:val="24"/>
        </w:rPr>
        <w:t>投标人资质证书（或资格证明）处于年检、换证、升级、变更等期间，除非法律法规或发证机构有书面材料明确表明供应商资质（或资格)有效，否则一律不予认可。</w:t>
      </w:r>
    </w:p>
    <w:p>
      <w:pPr>
        <w:spacing w:line="360" w:lineRule="auto"/>
        <w:ind w:firstLine="470" w:firstLineChars="196"/>
        <w:rPr>
          <w:rFonts w:ascii="宋体" w:hAnsi="宋体"/>
          <w:color w:val="000000"/>
          <w:sz w:val="24"/>
        </w:rPr>
      </w:pPr>
      <w:r>
        <w:rPr>
          <w:rFonts w:hint="eastAsia" w:ascii="宋体" w:hAnsi="宋体"/>
          <w:color w:val="000000"/>
          <w:sz w:val="24"/>
        </w:rPr>
        <w:t>3</w:t>
      </w:r>
      <w:r>
        <w:rPr>
          <w:rFonts w:hint="eastAsia" w:ascii="宋体" w:hAnsi="宋体"/>
          <w:color w:val="000000"/>
          <w:sz w:val="24"/>
          <w:lang w:val="en-US" w:eastAsia="zh-CN"/>
        </w:rPr>
        <w:t>.</w:t>
      </w:r>
      <w:r>
        <w:rPr>
          <w:rFonts w:hint="eastAsia" w:ascii="宋体" w:hAnsi="宋体"/>
          <w:color w:val="000000"/>
          <w:sz w:val="24"/>
        </w:rPr>
        <w:t>响应文件应编制连续页码。响应文件除特殊规格的图纸或方案、图片资料等外，均应按A4规格制作，为节约和环保，建议响应文件双面打印。</w:t>
      </w:r>
    </w:p>
    <w:p>
      <w:pPr>
        <w:spacing w:line="360" w:lineRule="auto"/>
        <w:ind w:firstLine="470" w:firstLineChars="196"/>
        <w:rPr>
          <w:rFonts w:ascii="宋体" w:hAnsi="宋体"/>
          <w:color w:val="000000"/>
          <w:sz w:val="24"/>
        </w:rPr>
      </w:pPr>
      <w:r>
        <w:rPr>
          <w:rFonts w:hint="eastAsia" w:ascii="宋体" w:hAnsi="宋体"/>
          <w:color w:val="000000"/>
          <w:sz w:val="24"/>
        </w:rPr>
        <w:t xml:space="preserve">4 </w:t>
      </w:r>
      <w:r>
        <w:rPr>
          <w:rFonts w:hint="eastAsia" w:ascii="宋体" w:hAnsi="宋体"/>
          <w:color w:val="000000"/>
          <w:sz w:val="24"/>
          <w:lang w:val="en-US" w:eastAsia="zh-CN"/>
        </w:rPr>
        <w:t>.</w:t>
      </w:r>
      <w:r>
        <w:rPr>
          <w:rFonts w:hint="eastAsia" w:ascii="宋体" w:hAnsi="宋体"/>
          <w:color w:val="000000"/>
          <w:sz w:val="24"/>
        </w:rPr>
        <w:t>投标人的响应文件一律不予退还。</w:t>
      </w:r>
    </w:p>
    <w:p>
      <w:pPr>
        <w:spacing w:line="360" w:lineRule="auto"/>
        <w:ind w:firstLine="472" w:firstLineChars="196"/>
        <w:rPr>
          <w:rFonts w:ascii="宋体" w:hAnsi="宋体"/>
          <w:b/>
          <w:color w:val="000000"/>
          <w:sz w:val="24"/>
        </w:rPr>
      </w:pPr>
      <w:r>
        <w:rPr>
          <w:rFonts w:hint="eastAsia" w:ascii="宋体" w:hAnsi="宋体"/>
          <w:b/>
          <w:color w:val="000000"/>
          <w:sz w:val="24"/>
        </w:rPr>
        <w:t>二、报价</w:t>
      </w:r>
    </w:p>
    <w:p>
      <w:pPr>
        <w:spacing w:line="360" w:lineRule="auto"/>
        <w:ind w:firstLine="470" w:firstLineChars="196"/>
        <w:rPr>
          <w:rFonts w:ascii="宋体" w:hAnsi="宋体"/>
          <w:b/>
          <w:color w:val="FF0000"/>
          <w:sz w:val="24"/>
        </w:rPr>
      </w:pPr>
      <w:r>
        <w:rPr>
          <w:rFonts w:hint="eastAsia" w:ascii="宋体" w:hAnsi="宋体"/>
          <w:color w:val="000000"/>
          <w:sz w:val="24"/>
        </w:rPr>
        <w:t>投标人应在响应文件中的报价如小写与大写不符，以大写为准。</w:t>
      </w:r>
    </w:p>
    <w:p>
      <w:pPr>
        <w:spacing w:line="360" w:lineRule="auto"/>
        <w:ind w:firstLine="472" w:firstLineChars="196"/>
        <w:rPr>
          <w:rFonts w:ascii="宋体" w:hAnsi="宋体"/>
          <w:b/>
          <w:color w:val="000000"/>
          <w:sz w:val="24"/>
        </w:rPr>
      </w:pPr>
      <w:r>
        <w:rPr>
          <w:rFonts w:hint="eastAsia" w:ascii="宋体" w:hAnsi="宋体"/>
          <w:b/>
          <w:color w:val="000000"/>
          <w:sz w:val="24"/>
        </w:rPr>
        <w:t>三、响应文件内容填写及说明</w:t>
      </w:r>
    </w:p>
    <w:p>
      <w:pPr>
        <w:spacing w:line="360" w:lineRule="auto"/>
        <w:ind w:firstLine="470" w:firstLineChars="196"/>
        <w:rPr>
          <w:rFonts w:ascii="宋体" w:hAnsi="宋体"/>
          <w:color w:val="000000"/>
          <w:sz w:val="24"/>
        </w:rPr>
      </w:pPr>
      <w:r>
        <w:rPr>
          <w:rFonts w:hint="eastAsia" w:ascii="宋体" w:hAnsi="宋体"/>
          <w:color w:val="000000"/>
          <w:sz w:val="24"/>
        </w:rPr>
        <w:t>1</w:t>
      </w:r>
      <w:r>
        <w:rPr>
          <w:rFonts w:hint="eastAsia" w:ascii="宋体" w:hAnsi="宋体"/>
          <w:color w:val="000000"/>
          <w:sz w:val="24"/>
          <w:lang w:val="en-US" w:eastAsia="zh-CN"/>
        </w:rPr>
        <w:t>.</w:t>
      </w:r>
      <w:r>
        <w:rPr>
          <w:rFonts w:hint="eastAsia" w:ascii="宋体" w:hAnsi="宋体"/>
          <w:color w:val="000000"/>
          <w:sz w:val="24"/>
        </w:rPr>
        <w:t>响应文件须对谈判文件载明的供应商资格、技术、资信、服务、报价等全部要求和条件做出实质性和完整的响应，如果响应文件填报的内容资料不详，或没有提供谈判文件所要求的全部资料、证明及数据，将导致响应无效。</w:t>
      </w:r>
    </w:p>
    <w:p>
      <w:pPr>
        <w:spacing w:line="360" w:lineRule="auto"/>
        <w:ind w:firstLine="470" w:firstLineChars="196"/>
        <w:rPr>
          <w:rFonts w:ascii="宋体" w:hAnsi="宋体"/>
          <w:color w:val="000000"/>
          <w:sz w:val="24"/>
        </w:rPr>
      </w:pPr>
      <w:r>
        <w:rPr>
          <w:rFonts w:hint="eastAsia" w:ascii="宋体" w:hAnsi="宋体"/>
          <w:color w:val="000000"/>
          <w:sz w:val="24"/>
        </w:rPr>
        <w:t>2</w:t>
      </w:r>
      <w:r>
        <w:rPr>
          <w:rFonts w:hint="eastAsia" w:ascii="宋体" w:hAnsi="宋体"/>
          <w:color w:val="000000"/>
          <w:sz w:val="24"/>
          <w:lang w:val="en-US" w:eastAsia="zh-CN"/>
        </w:rPr>
        <w:t>.</w:t>
      </w:r>
      <w:r>
        <w:rPr>
          <w:rFonts w:hint="eastAsia" w:ascii="宋体" w:hAnsi="宋体"/>
          <w:color w:val="000000"/>
          <w:sz w:val="24"/>
        </w:rPr>
        <w:t>投标人应在响应文件中提交谈判文件要求的有关证明文件，作为其响应文件的一部分。</w:t>
      </w:r>
    </w:p>
    <w:p>
      <w:pPr>
        <w:spacing w:line="360" w:lineRule="auto"/>
        <w:ind w:firstLine="470" w:firstLineChars="196"/>
        <w:rPr>
          <w:rFonts w:ascii="宋体" w:hAnsi="宋体"/>
          <w:color w:val="000000"/>
          <w:sz w:val="24"/>
        </w:rPr>
      </w:pPr>
      <w:r>
        <w:rPr>
          <w:rFonts w:hint="eastAsia" w:ascii="宋体" w:hAnsi="宋体"/>
          <w:color w:val="000000"/>
          <w:sz w:val="24"/>
        </w:rPr>
        <w:t>3</w:t>
      </w:r>
      <w:r>
        <w:rPr>
          <w:rFonts w:hint="eastAsia" w:ascii="宋体" w:hAnsi="宋体"/>
          <w:color w:val="000000"/>
          <w:sz w:val="24"/>
          <w:lang w:val="en-US" w:eastAsia="zh-CN"/>
        </w:rPr>
        <w:t>.</w:t>
      </w:r>
      <w:r>
        <w:rPr>
          <w:rFonts w:hint="eastAsia" w:ascii="宋体" w:hAnsi="宋体"/>
          <w:color w:val="000000"/>
          <w:sz w:val="24"/>
        </w:rPr>
        <w:t>投标人应在响应文件中提交谈判文件要求的所有货物或服务的合格性以及符合谈判文件规定的证明文件（可以是手册、图纸和资料等），并作为其响应文件的一部分。包括：保证所投服务正常、安全、连续运行期间所需的所有备品、备件及专用工具的详细清单。</w:t>
      </w:r>
    </w:p>
    <w:p>
      <w:pPr>
        <w:spacing w:line="360" w:lineRule="auto"/>
        <w:ind w:firstLine="470" w:firstLineChars="196"/>
        <w:rPr>
          <w:rFonts w:ascii="宋体" w:hAnsi="宋体"/>
          <w:color w:val="000000"/>
          <w:sz w:val="24"/>
        </w:rPr>
      </w:pPr>
      <w:r>
        <w:rPr>
          <w:rFonts w:hint="eastAsia" w:ascii="宋体" w:hAnsi="宋体"/>
          <w:color w:val="000000"/>
          <w:sz w:val="24"/>
        </w:rPr>
        <w:t>4</w:t>
      </w:r>
      <w:r>
        <w:rPr>
          <w:rFonts w:hint="eastAsia" w:ascii="宋体" w:hAnsi="宋体"/>
          <w:color w:val="000000"/>
          <w:sz w:val="24"/>
          <w:lang w:val="en-US" w:eastAsia="zh-CN"/>
        </w:rPr>
        <w:t>.</w:t>
      </w:r>
      <w:r>
        <w:rPr>
          <w:rFonts w:hint="eastAsia" w:ascii="宋体" w:hAnsi="宋体"/>
          <w:color w:val="000000"/>
          <w:sz w:val="24"/>
        </w:rPr>
        <w:t>响应文件应字迹清楚、编排有序、内容齐全、不得涂改或增删。如有错漏处必须修改，应在修改处加盖供应商公章。</w:t>
      </w:r>
    </w:p>
    <w:p>
      <w:pPr>
        <w:spacing w:line="360" w:lineRule="auto"/>
        <w:ind w:firstLine="472" w:firstLineChars="196"/>
        <w:rPr>
          <w:rFonts w:ascii="宋体" w:hAnsi="宋体"/>
          <w:b/>
          <w:color w:val="000000"/>
          <w:sz w:val="24"/>
        </w:rPr>
      </w:pPr>
      <w:r>
        <w:rPr>
          <w:rFonts w:hint="eastAsia" w:ascii="宋体" w:hAnsi="宋体"/>
          <w:b/>
          <w:color w:val="000000"/>
          <w:sz w:val="24"/>
        </w:rPr>
        <w:t>四、谈判保证金</w:t>
      </w:r>
    </w:p>
    <w:p>
      <w:pPr>
        <w:spacing w:line="360" w:lineRule="auto"/>
        <w:ind w:firstLine="470" w:firstLineChars="196"/>
        <w:rPr>
          <w:rFonts w:ascii="宋体" w:hAnsi="宋体"/>
          <w:color w:val="000000"/>
          <w:sz w:val="24"/>
        </w:rPr>
      </w:pPr>
      <w:r>
        <w:rPr>
          <w:rFonts w:hint="eastAsia" w:ascii="宋体" w:hAnsi="宋体"/>
          <w:color w:val="000000"/>
          <w:sz w:val="24"/>
        </w:rPr>
        <w:t>1</w:t>
      </w:r>
      <w:r>
        <w:rPr>
          <w:rFonts w:hint="eastAsia" w:ascii="宋体" w:hAnsi="宋体"/>
          <w:color w:val="000000"/>
          <w:sz w:val="24"/>
          <w:lang w:val="en-US" w:eastAsia="zh-CN"/>
        </w:rPr>
        <w:t>.</w:t>
      </w:r>
      <w:r>
        <w:rPr>
          <w:rFonts w:hint="eastAsia" w:ascii="宋体" w:hAnsi="宋体"/>
          <w:color w:val="000000"/>
          <w:sz w:val="24"/>
        </w:rPr>
        <w:t>谈判前，投标人应提交供应商须知前附表规定金额的谈判保证金，作为响应文件的一部分，谈判保证金应按照谈判公告的时间要求足额转账至指定账号。</w:t>
      </w:r>
    </w:p>
    <w:p>
      <w:pPr>
        <w:spacing w:line="360" w:lineRule="auto"/>
        <w:ind w:firstLine="470" w:firstLineChars="196"/>
        <w:rPr>
          <w:rFonts w:ascii="宋体" w:hAnsi="宋体"/>
          <w:color w:val="000000"/>
          <w:sz w:val="24"/>
        </w:rPr>
      </w:pPr>
      <w:r>
        <w:rPr>
          <w:rFonts w:hint="eastAsia" w:ascii="宋体" w:hAnsi="宋体"/>
          <w:color w:val="000000"/>
          <w:sz w:val="24"/>
        </w:rPr>
        <w:t>2</w:t>
      </w:r>
      <w:r>
        <w:rPr>
          <w:rFonts w:hint="eastAsia" w:ascii="宋体" w:hAnsi="宋体"/>
          <w:color w:val="000000"/>
          <w:sz w:val="24"/>
          <w:lang w:val="en-US" w:eastAsia="zh-CN"/>
        </w:rPr>
        <w:t>.</w:t>
      </w:r>
      <w:r>
        <w:rPr>
          <w:rFonts w:hint="eastAsia" w:ascii="宋体" w:hAnsi="宋体"/>
          <w:color w:val="000000"/>
          <w:sz w:val="24"/>
        </w:rPr>
        <w:t>谈判保证金缴纳人名称与供应商名称应当一致。除非谈判文件另有规定，分公司或子公司代缴谈判保证金，视同名称不一致。谈判保证金缴纳人名称与供应商名称不一致的，谈判无效。</w:t>
      </w:r>
    </w:p>
    <w:p>
      <w:pPr>
        <w:spacing w:line="360" w:lineRule="auto"/>
        <w:ind w:firstLine="470" w:firstLineChars="196"/>
        <w:rPr>
          <w:rFonts w:ascii="宋体" w:hAnsi="宋体"/>
          <w:color w:val="000000"/>
          <w:sz w:val="24"/>
        </w:rPr>
      </w:pPr>
      <w:r>
        <w:rPr>
          <w:rFonts w:hint="eastAsia" w:ascii="宋体" w:hAnsi="宋体"/>
          <w:color w:val="000000"/>
          <w:sz w:val="24"/>
        </w:rPr>
        <w:t>3</w:t>
      </w:r>
      <w:r>
        <w:rPr>
          <w:rFonts w:hint="eastAsia" w:ascii="宋体" w:hAnsi="宋体"/>
          <w:color w:val="000000"/>
          <w:sz w:val="24"/>
          <w:lang w:val="en-US" w:eastAsia="zh-CN"/>
        </w:rPr>
        <w:t>.</w:t>
      </w:r>
      <w:r>
        <w:rPr>
          <w:rFonts w:hint="eastAsia" w:ascii="宋体" w:hAnsi="宋体"/>
          <w:color w:val="000000"/>
          <w:sz w:val="24"/>
        </w:rPr>
        <w:t>未按要求提交谈判保证金的，谈判无效</w:t>
      </w:r>
    </w:p>
    <w:p>
      <w:pPr>
        <w:spacing w:line="360" w:lineRule="auto"/>
        <w:ind w:firstLine="470" w:firstLineChars="196"/>
        <w:rPr>
          <w:rFonts w:ascii="宋体" w:hAnsi="宋体"/>
          <w:color w:val="000000"/>
          <w:sz w:val="24"/>
        </w:rPr>
      </w:pPr>
      <w:r>
        <w:rPr>
          <w:rFonts w:hint="eastAsia" w:ascii="宋体" w:hAnsi="宋体"/>
          <w:color w:val="000000"/>
          <w:sz w:val="24"/>
        </w:rPr>
        <w:t>4</w:t>
      </w:r>
      <w:r>
        <w:rPr>
          <w:rFonts w:hint="eastAsia" w:ascii="宋体" w:hAnsi="宋体"/>
          <w:color w:val="000000"/>
          <w:sz w:val="24"/>
          <w:lang w:val="en-US" w:eastAsia="zh-CN"/>
        </w:rPr>
        <w:t>.</w:t>
      </w:r>
      <w:r>
        <w:rPr>
          <w:rFonts w:hint="eastAsia" w:ascii="宋体" w:hAnsi="宋体"/>
          <w:color w:val="000000"/>
          <w:sz w:val="24"/>
        </w:rPr>
        <w:t>下列任何情况发生时，谈判保证金将不予退还：</w:t>
      </w:r>
    </w:p>
    <w:p>
      <w:pPr>
        <w:spacing w:line="360" w:lineRule="auto"/>
        <w:ind w:firstLine="470" w:firstLineChars="196"/>
        <w:rPr>
          <w:rFonts w:ascii="宋体" w:hAnsi="宋体"/>
          <w:color w:val="000000"/>
          <w:sz w:val="24"/>
        </w:rPr>
      </w:pPr>
      <w:r>
        <w:rPr>
          <w:rFonts w:hint="eastAsia" w:ascii="宋体" w:hAnsi="宋体"/>
          <w:color w:val="000000"/>
          <w:sz w:val="24"/>
        </w:rPr>
        <w:t>（1）投标人在提交响应文件截止时间后撤回响应文件的；</w:t>
      </w:r>
    </w:p>
    <w:p>
      <w:pPr>
        <w:spacing w:line="360" w:lineRule="auto"/>
        <w:ind w:firstLine="470" w:firstLineChars="196"/>
        <w:rPr>
          <w:rFonts w:ascii="宋体" w:hAnsi="宋体"/>
          <w:color w:val="000000"/>
          <w:sz w:val="24"/>
        </w:rPr>
      </w:pPr>
      <w:r>
        <w:rPr>
          <w:rFonts w:hint="eastAsia" w:ascii="宋体" w:hAnsi="宋体"/>
          <w:color w:val="000000"/>
          <w:sz w:val="24"/>
        </w:rPr>
        <w:t>（2）投标人在响应文件中提供虚假材料的；</w:t>
      </w:r>
    </w:p>
    <w:p>
      <w:pPr>
        <w:spacing w:line="360" w:lineRule="auto"/>
        <w:ind w:firstLine="470" w:firstLineChars="196"/>
        <w:rPr>
          <w:rFonts w:ascii="宋体" w:hAnsi="宋体"/>
          <w:color w:val="000000"/>
          <w:sz w:val="24"/>
        </w:rPr>
      </w:pPr>
      <w:r>
        <w:rPr>
          <w:rFonts w:hint="eastAsia" w:ascii="宋体" w:hAnsi="宋体"/>
          <w:color w:val="000000"/>
          <w:sz w:val="24"/>
        </w:rPr>
        <w:t>（3）除因不可抗力或谈判文件认可的情形以外，成交投标人不与采购人签订合同的；</w:t>
      </w:r>
    </w:p>
    <w:p>
      <w:pPr>
        <w:spacing w:line="360" w:lineRule="auto"/>
        <w:ind w:firstLine="472" w:firstLineChars="196"/>
        <w:rPr>
          <w:rFonts w:ascii="宋体" w:hAnsi="宋体"/>
          <w:b/>
          <w:color w:val="000000"/>
          <w:sz w:val="24"/>
        </w:rPr>
      </w:pPr>
      <w:r>
        <w:rPr>
          <w:rFonts w:hint="eastAsia" w:ascii="宋体" w:hAnsi="宋体"/>
          <w:b/>
          <w:color w:val="000000"/>
          <w:sz w:val="24"/>
        </w:rPr>
        <w:t>五、响应文件份数</w:t>
      </w:r>
    </w:p>
    <w:p>
      <w:pPr>
        <w:spacing w:line="360" w:lineRule="auto"/>
        <w:ind w:firstLine="470" w:firstLineChars="196"/>
        <w:rPr>
          <w:rFonts w:ascii="宋体" w:hAnsi="宋体"/>
          <w:color w:val="000000"/>
          <w:sz w:val="24"/>
        </w:rPr>
      </w:pPr>
      <w:r>
        <w:rPr>
          <w:rFonts w:hint="eastAsia" w:ascii="宋体" w:hAnsi="宋体"/>
          <w:color w:val="000000"/>
          <w:sz w:val="24"/>
        </w:rPr>
        <w:t>投标人应按照谈判文件的要求编制响应文件，并在封面上注明“正本”和“副本”字样，正本1份，副本2份。响应文件的正本与副本如有不一致之处，以正本为准。</w:t>
      </w:r>
    </w:p>
    <w:p>
      <w:pPr>
        <w:spacing w:line="360" w:lineRule="auto"/>
        <w:ind w:firstLine="472" w:firstLineChars="196"/>
        <w:rPr>
          <w:rFonts w:ascii="宋体" w:hAnsi="宋体"/>
          <w:b/>
          <w:color w:val="000000"/>
          <w:sz w:val="24"/>
        </w:rPr>
      </w:pPr>
      <w:r>
        <w:rPr>
          <w:rFonts w:hint="eastAsia" w:ascii="宋体" w:hAnsi="宋体"/>
          <w:b/>
          <w:color w:val="000000"/>
          <w:sz w:val="24"/>
        </w:rPr>
        <w:t>六、响应文件的封装和标记</w:t>
      </w:r>
    </w:p>
    <w:p>
      <w:pPr>
        <w:spacing w:line="360" w:lineRule="auto"/>
        <w:ind w:firstLine="470" w:firstLineChars="196"/>
        <w:rPr>
          <w:rFonts w:ascii="宋体" w:hAnsi="宋体"/>
          <w:color w:val="000000"/>
          <w:sz w:val="24"/>
        </w:rPr>
      </w:pPr>
      <w:r>
        <w:rPr>
          <w:rFonts w:hint="eastAsia" w:ascii="宋体" w:hAnsi="宋体"/>
          <w:color w:val="000000"/>
          <w:sz w:val="24"/>
        </w:rPr>
        <w:t>1</w:t>
      </w:r>
      <w:r>
        <w:rPr>
          <w:rFonts w:hint="eastAsia" w:ascii="宋体" w:hAnsi="宋体"/>
          <w:color w:val="000000"/>
          <w:sz w:val="24"/>
          <w:lang w:val="en-US" w:eastAsia="zh-CN"/>
        </w:rPr>
        <w:t>.</w:t>
      </w:r>
      <w:r>
        <w:rPr>
          <w:rFonts w:hint="eastAsia" w:ascii="宋体" w:hAnsi="宋体"/>
          <w:color w:val="000000"/>
          <w:sz w:val="24"/>
        </w:rPr>
        <w:t>响应文件应装订成册并封装，并在密封袋上标注项目名称、供应商名称。</w:t>
      </w:r>
    </w:p>
    <w:p>
      <w:pPr>
        <w:spacing w:line="360" w:lineRule="auto"/>
        <w:ind w:firstLine="470" w:firstLineChars="196"/>
        <w:rPr>
          <w:rFonts w:ascii="宋体" w:hAnsi="宋体"/>
          <w:color w:val="000000"/>
          <w:sz w:val="24"/>
        </w:rPr>
      </w:pPr>
      <w:bookmarkStart w:id="1" w:name="_Hlt509650747"/>
      <w:bookmarkEnd w:id="1"/>
      <w:r>
        <w:rPr>
          <w:rFonts w:hint="eastAsia" w:ascii="宋体" w:hAnsi="宋体"/>
          <w:color w:val="000000"/>
          <w:sz w:val="24"/>
        </w:rPr>
        <w:t>2</w:t>
      </w:r>
      <w:r>
        <w:rPr>
          <w:rFonts w:hint="eastAsia" w:ascii="宋体" w:hAnsi="宋体"/>
          <w:color w:val="000000"/>
          <w:sz w:val="24"/>
          <w:lang w:val="en-US" w:eastAsia="zh-CN"/>
        </w:rPr>
        <w:t>.</w:t>
      </w:r>
      <w:r>
        <w:rPr>
          <w:rFonts w:hint="eastAsia" w:ascii="宋体" w:hAnsi="宋体"/>
          <w:color w:val="000000"/>
          <w:sz w:val="24"/>
        </w:rPr>
        <w:t>如果未按规定封装或加写标记，安徽电子信息职业技术学院将不承担投标文件错放或提前拆封的责任，并可能导致投标无效。</w:t>
      </w:r>
    </w:p>
    <w:p>
      <w:pPr>
        <w:spacing w:line="360" w:lineRule="auto"/>
        <w:ind w:firstLine="472" w:firstLineChars="196"/>
        <w:rPr>
          <w:rFonts w:ascii="宋体" w:hAnsi="宋体"/>
          <w:b/>
          <w:color w:val="000000"/>
          <w:sz w:val="24"/>
        </w:rPr>
      </w:pPr>
      <w:r>
        <w:rPr>
          <w:rFonts w:hint="eastAsia" w:ascii="宋体" w:hAnsi="宋体"/>
          <w:b/>
          <w:color w:val="000000"/>
          <w:sz w:val="24"/>
        </w:rPr>
        <w:t xml:space="preserve">七、招标文件的递交 </w:t>
      </w:r>
    </w:p>
    <w:p>
      <w:pPr>
        <w:spacing w:line="360" w:lineRule="auto"/>
        <w:ind w:firstLine="470" w:firstLineChars="196"/>
        <w:rPr>
          <w:rFonts w:ascii="宋体" w:hAnsi="宋体"/>
          <w:color w:val="000000"/>
          <w:sz w:val="24"/>
        </w:rPr>
      </w:pPr>
      <w:r>
        <w:rPr>
          <w:rFonts w:hint="eastAsia" w:ascii="宋体" w:hAnsi="宋体"/>
          <w:color w:val="000000"/>
          <w:sz w:val="24"/>
        </w:rPr>
        <w:t>1</w:t>
      </w:r>
      <w:r>
        <w:rPr>
          <w:rFonts w:hint="eastAsia" w:ascii="宋体" w:hAnsi="宋体"/>
          <w:color w:val="000000"/>
          <w:sz w:val="24"/>
          <w:lang w:val="en-US" w:eastAsia="zh-CN"/>
        </w:rPr>
        <w:t>.</w:t>
      </w:r>
      <w:r>
        <w:rPr>
          <w:rFonts w:hint="eastAsia" w:ascii="宋体" w:hAnsi="宋体"/>
          <w:color w:val="000000"/>
          <w:sz w:val="24"/>
        </w:rPr>
        <w:t>投标人应当在投标文件递交截止时间前，将投标文件密封送达指定接收地点。</w:t>
      </w:r>
    </w:p>
    <w:p>
      <w:pPr>
        <w:spacing w:line="360" w:lineRule="auto"/>
        <w:ind w:firstLine="470" w:firstLineChars="196"/>
        <w:rPr>
          <w:rFonts w:ascii="宋体" w:hAnsi="宋体"/>
          <w:color w:val="000000"/>
          <w:sz w:val="24"/>
        </w:rPr>
      </w:pPr>
      <w:r>
        <w:rPr>
          <w:rFonts w:hint="eastAsia" w:ascii="宋体" w:hAnsi="宋体"/>
          <w:color w:val="000000"/>
          <w:sz w:val="24"/>
        </w:rPr>
        <w:t>2</w:t>
      </w:r>
      <w:r>
        <w:rPr>
          <w:rFonts w:hint="eastAsia" w:ascii="宋体" w:hAnsi="宋体"/>
          <w:color w:val="000000"/>
          <w:sz w:val="24"/>
          <w:lang w:val="en-US" w:eastAsia="zh-CN"/>
        </w:rPr>
        <w:t>.</w:t>
      </w:r>
      <w:r>
        <w:rPr>
          <w:rFonts w:hint="eastAsia" w:ascii="宋体" w:hAnsi="宋体"/>
          <w:color w:val="000000"/>
          <w:sz w:val="24"/>
        </w:rPr>
        <w:t>在投标文件递交截至时间之后送达文件，安徽电子信息职业技术学院将拒绝接收。</w:t>
      </w:r>
    </w:p>
    <w:p>
      <w:pPr>
        <w:spacing w:line="360" w:lineRule="auto"/>
        <w:ind w:firstLine="472" w:firstLineChars="196"/>
        <w:rPr>
          <w:rFonts w:ascii="宋体" w:hAnsi="宋体"/>
          <w:b/>
          <w:color w:val="000000"/>
          <w:sz w:val="24"/>
        </w:rPr>
      </w:pPr>
      <w:r>
        <w:rPr>
          <w:rFonts w:hint="eastAsia" w:ascii="宋体" w:hAnsi="宋体"/>
          <w:b/>
          <w:color w:val="000000"/>
          <w:sz w:val="24"/>
        </w:rPr>
        <w:t>八、接收响应文件</w:t>
      </w:r>
    </w:p>
    <w:p>
      <w:pPr>
        <w:spacing w:line="360" w:lineRule="auto"/>
        <w:ind w:firstLine="470" w:firstLineChars="196"/>
        <w:rPr>
          <w:rFonts w:ascii="宋体" w:hAnsi="宋体"/>
          <w:color w:val="000000"/>
          <w:sz w:val="24"/>
        </w:rPr>
      </w:pPr>
      <w:r>
        <w:rPr>
          <w:rFonts w:hint="eastAsia" w:ascii="宋体" w:hAnsi="宋体"/>
          <w:color w:val="000000"/>
          <w:sz w:val="24"/>
        </w:rPr>
        <w:t>1</w:t>
      </w:r>
      <w:r>
        <w:rPr>
          <w:rFonts w:hint="eastAsia" w:ascii="宋体" w:hAnsi="宋体"/>
          <w:color w:val="000000"/>
          <w:sz w:val="24"/>
          <w:lang w:val="en-US" w:eastAsia="zh-CN"/>
        </w:rPr>
        <w:t>.</w:t>
      </w:r>
      <w:r>
        <w:rPr>
          <w:rFonts w:hint="eastAsia" w:ascii="宋体" w:hAnsi="宋体"/>
          <w:color w:val="000000"/>
          <w:sz w:val="24"/>
        </w:rPr>
        <w:t>投标人代表（法定代表人或其授权代表）应携带身份证明或授权委托书参加并签到。投标人代表不到谈判现场，其响应文件将被拒绝。</w:t>
      </w:r>
    </w:p>
    <w:p>
      <w:pPr>
        <w:spacing w:line="360" w:lineRule="auto"/>
        <w:ind w:firstLine="470" w:firstLineChars="196"/>
        <w:rPr>
          <w:rFonts w:ascii="宋体" w:hAnsi="宋体"/>
          <w:color w:val="000000"/>
          <w:sz w:val="24"/>
        </w:rPr>
      </w:pPr>
      <w:r>
        <w:rPr>
          <w:rFonts w:hint="eastAsia" w:ascii="宋体" w:hAnsi="宋体"/>
          <w:color w:val="000000"/>
          <w:sz w:val="24"/>
        </w:rPr>
        <w:t>2</w:t>
      </w:r>
      <w:r>
        <w:rPr>
          <w:rFonts w:hint="eastAsia" w:ascii="宋体" w:hAnsi="宋体"/>
          <w:color w:val="000000"/>
          <w:sz w:val="24"/>
          <w:lang w:val="en-US" w:eastAsia="zh-CN"/>
        </w:rPr>
        <w:t>.</w:t>
      </w:r>
      <w:r>
        <w:rPr>
          <w:rFonts w:hint="eastAsia" w:ascii="宋体" w:hAnsi="宋体"/>
          <w:color w:val="000000"/>
          <w:sz w:val="24"/>
        </w:rPr>
        <w:t>在谈判过程中，供应商提交的澄清、说明或者更正和最后报价等响应文件应当由投标人代表签字或者加盖公章后生效，投标人应受其约束。</w:t>
      </w:r>
    </w:p>
    <w:p>
      <w:pPr>
        <w:spacing w:line="360" w:lineRule="auto"/>
        <w:ind w:firstLine="472" w:firstLineChars="196"/>
        <w:rPr>
          <w:rFonts w:ascii="宋体" w:hAnsi="宋体" w:cs="宋体-18030"/>
          <w:b/>
          <w:color w:val="000000"/>
          <w:sz w:val="24"/>
        </w:rPr>
      </w:pPr>
      <w:r>
        <w:rPr>
          <w:rFonts w:hint="eastAsia" w:ascii="宋体" w:hAnsi="宋体"/>
          <w:b/>
          <w:color w:val="000000"/>
          <w:sz w:val="24"/>
        </w:rPr>
        <w:t>九、</w:t>
      </w:r>
      <w:r>
        <w:rPr>
          <w:rFonts w:hint="eastAsia" w:ascii="宋体" w:hAnsi="宋体" w:cs="宋体-18030"/>
          <w:b/>
          <w:color w:val="000000"/>
          <w:sz w:val="24"/>
        </w:rPr>
        <w:t>综合评审</w:t>
      </w:r>
    </w:p>
    <w:p>
      <w:pPr>
        <w:spacing w:line="360" w:lineRule="auto"/>
        <w:ind w:firstLine="480" w:firstLineChars="200"/>
        <w:rPr>
          <w:rFonts w:ascii="宋体" w:hAnsi="宋体"/>
          <w:color w:val="000000"/>
          <w:sz w:val="24"/>
        </w:rPr>
      </w:pPr>
      <w:r>
        <w:rPr>
          <w:rFonts w:hint="eastAsia" w:ascii="宋体" w:hAnsi="宋体"/>
          <w:color w:val="000000"/>
          <w:sz w:val="24"/>
        </w:rPr>
        <w:t>1</w:t>
      </w:r>
      <w:r>
        <w:rPr>
          <w:rFonts w:hint="eastAsia" w:ascii="宋体" w:hAnsi="宋体"/>
          <w:color w:val="000000"/>
          <w:sz w:val="24"/>
          <w:lang w:val="en-US" w:eastAsia="zh-CN"/>
        </w:rPr>
        <w:t>.</w:t>
      </w:r>
      <w:r>
        <w:rPr>
          <w:rFonts w:hint="eastAsia" w:ascii="宋体" w:hAnsi="宋体"/>
          <w:color w:val="000000"/>
          <w:sz w:val="24"/>
        </w:rPr>
        <w:t>谈判小组对供应商的响应文件和提交的最后报价进行综合评审。谈判小组只对通过初审并提交了最后报价的投标人的实质性响应文件按照下述指标表进行综合评审。</w:t>
      </w:r>
    </w:p>
    <w:p>
      <w:pPr>
        <w:spacing w:line="480" w:lineRule="exact"/>
        <w:ind w:firstLine="482" w:firstLineChars="200"/>
        <w:rPr>
          <w:rFonts w:ascii="宋体" w:hAnsi="宋体"/>
          <w:b/>
          <w:color w:val="000000"/>
          <w:sz w:val="24"/>
        </w:rPr>
      </w:pPr>
      <w:r>
        <w:rPr>
          <w:rFonts w:hint="eastAsia" w:ascii="宋体" w:hAnsi="宋体"/>
          <w:b/>
          <w:color w:val="000000"/>
          <w:sz w:val="24"/>
        </w:rPr>
        <w:t>商务标评审（40分）</w:t>
      </w:r>
      <w:r>
        <w:rPr>
          <w:rFonts w:hint="eastAsia" w:ascii="宋体" w:hAnsi="宋体"/>
          <w:color w:val="000000"/>
          <w:sz w:val="24"/>
        </w:rPr>
        <w:t>（小数点保留两位）</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3"/>
        <w:gridCol w:w="1752"/>
        <w:gridCol w:w="5437"/>
        <w:gridCol w:w="9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853" w:type="dxa"/>
            <w:tcBorders>
              <w:top w:val="single" w:color="auto" w:sz="4" w:space="0"/>
              <w:left w:val="single" w:color="auto" w:sz="4" w:space="0"/>
              <w:bottom w:val="single" w:color="auto" w:sz="6" w:space="0"/>
              <w:right w:val="single" w:color="auto" w:sz="6" w:space="0"/>
            </w:tcBorders>
            <w:vAlign w:val="center"/>
          </w:tcPr>
          <w:p>
            <w:pPr>
              <w:spacing w:line="240" w:lineRule="exact"/>
              <w:jc w:val="center"/>
              <w:rPr>
                <w:rFonts w:ascii="宋体" w:hAnsi="宋体" w:cs="宋体"/>
                <w:b/>
                <w:color w:val="000000"/>
                <w:sz w:val="24"/>
              </w:rPr>
            </w:pPr>
            <w:r>
              <w:rPr>
                <w:rFonts w:hint="eastAsia" w:ascii="宋体" w:hAnsi="宋体" w:cs="宋体"/>
                <w:b/>
                <w:color w:val="000000"/>
                <w:sz w:val="24"/>
              </w:rPr>
              <w:t>序号</w:t>
            </w:r>
          </w:p>
        </w:tc>
        <w:tc>
          <w:tcPr>
            <w:tcW w:w="1752" w:type="dxa"/>
            <w:tcBorders>
              <w:top w:val="single" w:color="auto" w:sz="4" w:space="0"/>
              <w:left w:val="single" w:color="auto" w:sz="6" w:space="0"/>
              <w:bottom w:val="single" w:color="auto" w:sz="6" w:space="0"/>
              <w:right w:val="single" w:color="auto" w:sz="6" w:space="0"/>
            </w:tcBorders>
            <w:vAlign w:val="center"/>
          </w:tcPr>
          <w:p>
            <w:pPr>
              <w:spacing w:line="240" w:lineRule="exact"/>
              <w:jc w:val="center"/>
              <w:rPr>
                <w:rFonts w:ascii="宋体" w:hAnsi="宋体" w:cs="宋体"/>
                <w:b/>
                <w:color w:val="000000"/>
                <w:sz w:val="24"/>
              </w:rPr>
            </w:pPr>
            <w:r>
              <w:rPr>
                <w:rFonts w:hint="eastAsia" w:ascii="宋体" w:hAnsi="宋体" w:cs="宋体"/>
                <w:b/>
                <w:color w:val="000000"/>
                <w:sz w:val="24"/>
              </w:rPr>
              <w:t>评审因素</w:t>
            </w:r>
          </w:p>
        </w:tc>
        <w:tc>
          <w:tcPr>
            <w:tcW w:w="5437" w:type="dxa"/>
            <w:tcBorders>
              <w:top w:val="single" w:color="auto" w:sz="4" w:space="0"/>
              <w:left w:val="single" w:color="auto" w:sz="6" w:space="0"/>
              <w:bottom w:val="single" w:color="auto" w:sz="6" w:space="0"/>
              <w:right w:val="single" w:color="auto" w:sz="6" w:space="0"/>
            </w:tcBorders>
            <w:vAlign w:val="center"/>
          </w:tcPr>
          <w:p>
            <w:pPr>
              <w:spacing w:line="240" w:lineRule="exact"/>
              <w:jc w:val="center"/>
              <w:rPr>
                <w:rFonts w:ascii="宋体" w:hAnsi="宋体" w:cs="宋体"/>
                <w:b/>
                <w:color w:val="000000"/>
                <w:sz w:val="24"/>
              </w:rPr>
            </w:pPr>
            <w:r>
              <w:rPr>
                <w:rFonts w:hint="eastAsia" w:ascii="宋体" w:hAnsi="宋体" w:cs="宋体"/>
                <w:b/>
                <w:color w:val="000000"/>
                <w:sz w:val="24"/>
              </w:rPr>
              <w:t>评分说明</w:t>
            </w:r>
          </w:p>
        </w:tc>
        <w:tc>
          <w:tcPr>
            <w:tcW w:w="936" w:type="dxa"/>
            <w:tcBorders>
              <w:top w:val="single" w:color="auto" w:sz="4" w:space="0"/>
              <w:left w:val="single" w:color="auto" w:sz="6" w:space="0"/>
              <w:bottom w:val="single" w:color="auto" w:sz="6" w:space="0"/>
              <w:right w:val="single" w:color="auto" w:sz="4" w:space="0"/>
            </w:tcBorders>
            <w:vAlign w:val="center"/>
          </w:tcPr>
          <w:p>
            <w:pPr>
              <w:spacing w:line="240" w:lineRule="exact"/>
              <w:jc w:val="center"/>
              <w:rPr>
                <w:rFonts w:ascii="宋体" w:hAnsi="宋体" w:cs="宋体"/>
                <w:b/>
                <w:color w:val="000000"/>
                <w:sz w:val="24"/>
              </w:rPr>
            </w:pPr>
            <w:r>
              <w:rPr>
                <w:rFonts w:hint="eastAsia" w:ascii="宋体" w:hAnsi="宋体" w:cs="宋体"/>
                <w:b/>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29" w:hRule="atLeast"/>
          <w:jc w:val="center"/>
        </w:trPr>
        <w:tc>
          <w:tcPr>
            <w:tcW w:w="853" w:type="dxa"/>
            <w:tcBorders>
              <w:top w:val="single" w:color="auto" w:sz="6" w:space="0"/>
              <w:left w:val="single" w:color="auto" w:sz="4" w:space="0"/>
              <w:bottom w:val="single" w:color="auto" w:sz="4" w:space="0"/>
              <w:right w:val="single" w:color="auto" w:sz="6" w:space="0"/>
            </w:tcBorders>
            <w:vAlign w:val="center"/>
          </w:tcPr>
          <w:p>
            <w:pPr>
              <w:spacing w:line="320" w:lineRule="exact"/>
              <w:jc w:val="center"/>
              <w:rPr>
                <w:rFonts w:ascii="宋体" w:hAnsi="宋体" w:cs="宋体"/>
                <w:color w:val="000000"/>
                <w:szCs w:val="21"/>
              </w:rPr>
            </w:pPr>
            <w:r>
              <w:rPr>
                <w:rFonts w:hint="eastAsia" w:ascii="宋体" w:hAnsi="宋体" w:cs="宋体"/>
                <w:color w:val="000000"/>
                <w:szCs w:val="21"/>
              </w:rPr>
              <w:t>1</w:t>
            </w:r>
          </w:p>
        </w:tc>
        <w:tc>
          <w:tcPr>
            <w:tcW w:w="1752" w:type="dxa"/>
            <w:tcBorders>
              <w:top w:val="single" w:color="auto" w:sz="6" w:space="0"/>
              <w:left w:val="single" w:color="auto" w:sz="6" w:space="0"/>
              <w:bottom w:val="single" w:color="auto" w:sz="4" w:space="0"/>
              <w:right w:val="single" w:color="auto" w:sz="6" w:space="0"/>
            </w:tcBorders>
            <w:vAlign w:val="center"/>
          </w:tcPr>
          <w:p>
            <w:pPr>
              <w:spacing w:line="320" w:lineRule="exact"/>
              <w:jc w:val="center"/>
              <w:rPr>
                <w:rFonts w:ascii="宋体" w:hAnsi="宋体" w:cs="宋体"/>
                <w:color w:val="000000"/>
                <w:szCs w:val="21"/>
              </w:rPr>
            </w:pPr>
            <w:r>
              <w:rPr>
                <w:rFonts w:hint="eastAsia" w:ascii="宋体" w:hAnsi="宋体" w:cs="宋体"/>
                <w:color w:val="000000"/>
                <w:szCs w:val="21"/>
              </w:rPr>
              <w:t>谈判报价</w:t>
            </w:r>
          </w:p>
        </w:tc>
        <w:tc>
          <w:tcPr>
            <w:tcW w:w="5437" w:type="dxa"/>
            <w:tcBorders>
              <w:top w:val="single" w:color="auto" w:sz="6" w:space="0"/>
              <w:left w:val="single" w:color="auto" w:sz="6" w:space="0"/>
              <w:bottom w:val="single" w:color="auto" w:sz="4" w:space="0"/>
              <w:right w:val="single" w:color="auto" w:sz="6" w:space="0"/>
            </w:tcBorders>
            <w:vAlign w:val="center"/>
          </w:tcPr>
          <w:p>
            <w:pPr>
              <w:spacing w:line="320" w:lineRule="exact"/>
              <w:jc w:val="center"/>
              <w:rPr>
                <w:rFonts w:ascii="宋体" w:hAnsi="宋体" w:cs="宋体"/>
                <w:color w:val="000000"/>
                <w:szCs w:val="21"/>
              </w:rPr>
            </w:pPr>
            <w:r>
              <w:rPr>
                <w:rFonts w:hint="eastAsia" w:ascii="宋体" w:hAnsi="宋体" w:cs="宋体"/>
                <w:color w:val="000000"/>
                <w:szCs w:val="21"/>
              </w:rPr>
              <w:t>（1）所有投标人报价不得低于17,5万元，招标人以所有投标人提交的报价的平均数作为基准报价。投标人提交的最后有效报价每低于基准价5000元（不足5000元按5000元计），相应扣2分，以此类推；每高于5000（不足5000元按5000元计），扣0.5分，以此类推。</w:t>
            </w:r>
          </w:p>
        </w:tc>
        <w:tc>
          <w:tcPr>
            <w:tcW w:w="936" w:type="dxa"/>
            <w:tcBorders>
              <w:top w:val="single" w:color="auto" w:sz="6" w:space="0"/>
              <w:left w:val="single" w:color="auto" w:sz="6" w:space="0"/>
              <w:bottom w:val="single" w:color="auto" w:sz="4" w:space="0"/>
              <w:right w:val="single" w:color="auto" w:sz="4" w:space="0"/>
            </w:tcBorders>
            <w:vAlign w:val="center"/>
          </w:tcPr>
          <w:p>
            <w:pPr>
              <w:spacing w:line="320" w:lineRule="exact"/>
              <w:jc w:val="center"/>
              <w:rPr>
                <w:rFonts w:ascii="宋体" w:hAnsi="宋体" w:cs="宋体"/>
                <w:color w:val="000000"/>
                <w:szCs w:val="21"/>
              </w:rPr>
            </w:pPr>
            <w:r>
              <w:rPr>
                <w:rFonts w:hint="eastAsia" w:ascii="宋体" w:hAnsi="宋体" w:cs="宋体"/>
                <w:color w:val="000000"/>
                <w:szCs w:val="21"/>
              </w:rPr>
              <w:t>40</w:t>
            </w:r>
          </w:p>
        </w:tc>
      </w:tr>
    </w:tbl>
    <w:p>
      <w:pPr>
        <w:widowControl/>
        <w:shd w:val="clear" w:color="auto" w:fill="FFFFFF"/>
        <w:spacing w:line="500" w:lineRule="atLeast"/>
        <w:ind w:firstLine="482" w:firstLineChars="200"/>
        <w:jc w:val="left"/>
        <w:rPr>
          <w:rFonts w:ascii="宋体" w:hAnsi="宋体"/>
          <w:b/>
          <w:color w:val="000000"/>
          <w:sz w:val="24"/>
        </w:rPr>
      </w:pPr>
      <w:r>
        <w:rPr>
          <w:rFonts w:hint="eastAsia" w:ascii="宋体" w:hAnsi="宋体"/>
          <w:b/>
          <w:color w:val="000000"/>
          <w:sz w:val="24"/>
        </w:rPr>
        <w:t>技术标评审（60分）</w:t>
      </w:r>
    </w:p>
    <w:tbl>
      <w:tblPr>
        <w:tblStyle w:val="8"/>
        <w:tblW w:w="8870" w:type="dxa"/>
        <w:jc w:val="center"/>
        <w:tblLayout w:type="fixed"/>
        <w:tblCellMar>
          <w:top w:w="0" w:type="dxa"/>
          <w:left w:w="108" w:type="dxa"/>
          <w:bottom w:w="0" w:type="dxa"/>
          <w:right w:w="108" w:type="dxa"/>
        </w:tblCellMar>
      </w:tblPr>
      <w:tblGrid>
        <w:gridCol w:w="720"/>
        <w:gridCol w:w="2160"/>
        <w:gridCol w:w="5200"/>
        <w:gridCol w:w="790"/>
      </w:tblGrid>
      <w:tr>
        <w:tblPrEx>
          <w:tblCellMar>
            <w:top w:w="0" w:type="dxa"/>
            <w:left w:w="108" w:type="dxa"/>
            <w:bottom w:w="0" w:type="dxa"/>
            <w:right w:w="108" w:type="dxa"/>
          </w:tblCellMar>
        </w:tblPrEx>
        <w:trPr>
          <w:trHeight w:val="492"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
                <w:color w:val="000000"/>
                <w:sz w:val="24"/>
              </w:rPr>
            </w:pPr>
            <w:r>
              <w:rPr>
                <w:rFonts w:hint="eastAsia" w:ascii="宋体" w:hAnsi="宋体" w:cs="宋体"/>
                <w:b/>
                <w:color w:val="000000"/>
                <w:sz w:val="24"/>
              </w:rPr>
              <w:t>序号</w:t>
            </w:r>
          </w:p>
        </w:tc>
        <w:tc>
          <w:tcPr>
            <w:tcW w:w="216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b/>
                <w:color w:val="000000"/>
                <w:sz w:val="24"/>
              </w:rPr>
            </w:pPr>
            <w:r>
              <w:rPr>
                <w:rFonts w:hint="eastAsia" w:ascii="宋体" w:hAnsi="宋体" w:cs="宋体"/>
                <w:b/>
                <w:color w:val="000000"/>
                <w:sz w:val="24"/>
              </w:rPr>
              <w:t>项  目</w:t>
            </w:r>
          </w:p>
        </w:tc>
        <w:tc>
          <w:tcPr>
            <w:tcW w:w="520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b/>
                <w:color w:val="000000"/>
                <w:sz w:val="24"/>
              </w:rPr>
            </w:pPr>
            <w:r>
              <w:rPr>
                <w:rFonts w:hint="eastAsia" w:ascii="宋体" w:hAnsi="宋体" w:cs="宋体"/>
                <w:b/>
                <w:color w:val="000000"/>
                <w:sz w:val="24"/>
              </w:rPr>
              <w:t>评分内容</w:t>
            </w:r>
          </w:p>
        </w:tc>
        <w:tc>
          <w:tcPr>
            <w:tcW w:w="79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b/>
                <w:color w:val="000000"/>
                <w:sz w:val="24"/>
              </w:rPr>
            </w:pPr>
            <w:r>
              <w:rPr>
                <w:rFonts w:hint="eastAsia" w:ascii="宋体" w:hAnsi="宋体" w:cs="宋体"/>
                <w:b/>
                <w:color w:val="000000"/>
                <w:sz w:val="24"/>
              </w:rPr>
              <w:t>分值</w:t>
            </w:r>
          </w:p>
        </w:tc>
      </w:tr>
      <w:tr>
        <w:tblPrEx>
          <w:tblCellMar>
            <w:top w:w="0" w:type="dxa"/>
            <w:left w:w="108" w:type="dxa"/>
            <w:bottom w:w="0" w:type="dxa"/>
            <w:right w:w="108" w:type="dxa"/>
          </w:tblCellMar>
        </w:tblPrEx>
        <w:trPr>
          <w:trHeight w:val="110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szCs w:val="21"/>
              </w:rPr>
            </w:pPr>
            <w:r>
              <w:rPr>
                <w:rFonts w:hint="eastAsia" w:ascii="宋体" w:hAnsi="宋体" w:cs="宋体"/>
                <w:color w:val="000000"/>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000000"/>
                <w:szCs w:val="21"/>
              </w:rPr>
            </w:pPr>
            <w:r>
              <w:rPr>
                <w:rFonts w:hint="eastAsia" w:ascii="宋体" w:hAnsi="宋体" w:cs="宋体"/>
                <w:color w:val="000000"/>
                <w:szCs w:val="21"/>
              </w:rPr>
              <w:t>企业资质</w:t>
            </w:r>
          </w:p>
        </w:tc>
        <w:tc>
          <w:tcPr>
            <w:tcW w:w="520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000000"/>
                <w:szCs w:val="21"/>
              </w:rPr>
            </w:pPr>
            <w:r>
              <w:rPr>
                <w:rFonts w:hint="eastAsia" w:ascii="宋体" w:hAnsi="宋体" w:cs="宋体"/>
                <w:color w:val="000000"/>
                <w:szCs w:val="21"/>
              </w:rPr>
              <w:t>注册资本500万元及以上得15分， 400万元及以上-500万元以下得13分；300万元及以上-400万元以下得11分，200万元及以上-300万元以下得9分。</w:t>
            </w:r>
          </w:p>
        </w:tc>
        <w:tc>
          <w:tcPr>
            <w:tcW w:w="7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szCs w:val="21"/>
              </w:rPr>
            </w:pPr>
            <w:r>
              <w:rPr>
                <w:rFonts w:hint="eastAsia" w:ascii="宋体" w:hAnsi="宋体" w:cs="宋体"/>
                <w:color w:val="000000"/>
                <w:szCs w:val="21"/>
              </w:rPr>
              <w:t>15</w:t>
            </w:r>
          </w:p>
        </w:tc>
      </w:tr>
      <w:tr>
        <w:tblPrEx>
          <w:tblCellMar>
            <w:top w:w="0" w:type="dxa"/>
            <w:left w:w="108" w:type="dxa"/>
            <w:bottom w:w="0" w:type="dxa"/>
            <w:right w:w="108" w:type="dxa"/>
          </w:tblCellMar>
        </w:tblPrEx>
        <w:trPr>
          <w:trHeight w:val="922"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szCs w:val="21"/>
              </w:rPr>
            </w:pPr>
            <w:r>
              <w:rPr>
                <w:rFonts w:hint="eastAsia" w:ascii="宋体" w:hAnsi="宋体" w:cs="宋体"/>
                <w:color w:val="000000"/>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000000"/>
                <w:szCs w:val="21"/>
              </w:rPr>
            </w:pPr>
            <w:r>
              <w:rPr>
                <w:rFonts w:hint="eastAsia" w:ascii="宋体" w:hAnsi="宋体" w:cs="宋体"/>
                <w:color w:val="000000"/>
                <w:szCs w:val="21"/>
              </w:rPr>
              <w:t>承诺工期</w:t>
            </w:r>
          </w:p>
        </w:tc>
        <w:tc>
          <w:tcPr>
            <w:tcW w:w="520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000000"/>
                <w:szCs w:val="21"/>
              </w:rPr>
            </w:pPr>
            <w:r>
              <w:rPr>
                <w:rFonts w:hint="eastAsia" w:ascii="宋体" w:hAnsi="宋体" w:cs="宋体"/>
                <w:color w:val="000000"/>
                <w:szCs w:val="21"/>
              </w:rPr>
              <w:t>根据承诺在  2020 年 8月 25日前完成并正常开业，且措施得力得15分，措施可行得10分，措施一般得5分。</w:t>
            </w:r>
          </w:p>
        </w:tc>
        <w:tc>
          <w:tcPr>
            <w:tcW w:w="7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szCs w:val="21"/>
              </w:rPr>
            </w:pPr>
            <w:r>
              <w:rPr>
                <w:rFonts w:hint="eastAsia" w:ascii="宋体" w:hAnsi="宋体" w:cs="宋体"/>
                <w:color w:val="000000"/>
                <w:szCs w:val="21"/>
              </w:rPr>
              <w:t>15</w:t>
            </w:r>
          </w:p>
        </w:tc>
      </w:tr>
      <w:tr>
        <w:tblPrEx>
          <w:tblCellMar>
            <w:top w:w="0" w:type="dxa"/>
            <w:left w:w="108" w:type="dxa"/>
            <w:bottom w:w="0" w:type="dxa"/>
            <w:right w:w="108" w:type="dxa"/>
          </w:tblCellMar>
        </w:tblPrEx>
        <w:trPr>
          <w:trHeight w:val="642"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szCs w:val="21"/>
              </w:rPr>
            </w:pPr>
            <w:r>
              <w:rPr>
                <w:rFonts w:hint="eastAsia" w:ascii="宋体" w:hAnsi="宋体" w:cs="宋体"/>
                <w:color w:val="000000"/>
                <w:szCs w:val="21"/>
              </w:rPr>
              <w:t>3</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000000"/>
                <w:szCs w:val="21"/>
              </w:rPr>
            </w:pPr>
            <w:r>
              <w:rPr>
                <w:rFonts w:hint="eastAsia" w:ascii="宋体" w:hAnsi="宋体" w:cs="宋体"/>
                <w:color w:val="000000"/>
                <w:szCs w:val="21"/>
              </w:rPr>
              <w:t>管理制度、管理理念、目标</w:t>
            </w:r>
          </w:p>
        </w:tc>
        <w:tc>
          <w:tcPr>
            <w:tcW w:w="520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FF0000"/>
                <w:szCs w:val="21"/>
              </w:rPr>
            </w:pPr>
            <w:r>
              <w:rPr>
                <w:rFonts w:hint="eastAsia" w:ascii="宋体" w:hAnsi="宋体" w:cs="宋体"/>
                <w:color w:val="000000"/>
                <w:szCs w:val="21"/>
              </w:rPr>
              <w:t>有健全的商场相关管理制度：岗位责任制度、物资采购制度、食品安全管理制度、储存和销售管理制度、食物中毒应急预案等规章制度。管理制度健全、目标明确，得4-5分；管理制度较全，有一定管理目标，得2-3分；管理制度不全，管理目标模糊不明确，得1-2分；没有的得0分。</w:t>
            </w:r>
          </w:p>
        </w:tc>
        <w:tc>
          <w:tcPr>
            <w:tcW w:w="7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szCs w:val="21"/>
              </w:rPr>
            </w:pPr>
            <w:r>
              <w:rPr>
                <w:rFonts w:hint="eastAsia" w:ascii="宋体" w:hAnsi="宋体" w:cs="宋体"/>
                <w:color w:val="000000"/>
                <w:szCs w:val="21"/>
              </w:rPr>
              <w:t>10</w:t>
            </w:r>
          </w:p>
        </w:tc>
      </w:tr>
      <w:tr>
        <w:tblPrEx>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szCs w:val="21"/>
              </w:rPr>
            </w:pPr>
            <w:r>
              <w:rPr>
                <w:rFonts w:hint="eastAsia" w:ascii="宋体" w:hAnsi="宋体" w:cs="宋体"/>
                <w:color w:val="000000"/>
                <w:szCs w:val="21"/>
              </w:rPr>
              <w:t>4</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000000"/>
                <w:szCs w:val="21"/>
              </w:rPr>
            </w:pPr>
            <w:r>
              <w:rPr>
                <w:rFonts w:hint="eastAsia" w:ascii="宋体" w:hAnsi="宋体" w:cs="宋体"/>
                <w:color w:val="000000"/>
                <w:szCs w:val="21"/>
              </w:rPr>
              <w:t>管理服务人员的配备</w:t>
            </w:r>
          </w:p>
        </w:tc>
        <w:tc>
          <w:tcPr>
            <w:tcW w:w="520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000000"/>
                <w:szCs w:val="21"/>
              </w:rPr>
            </w:pPr>
            <w:r>
              <w:rPr>
                <w:rFonts w:hint="eastAsia" w:ascii="宋体" w:hAnsi="宋体" w:cs="宋体"/>
                <w:color w:val="000000"/>
                <w:szCs w:val="21"/>
              </w:rPr>
              <w:t>人员配备合理、到位，得4-5分；人员配备比较合理、到位，得2-3分；人员配备不够明确、不够合理，得0-1分。</w:t>
            </w:r>
          </w:p>
        </w:tc>
        <w:tc>
          <w:tcPr>
            <w:tcW w:w="7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szCs w:val="21"/>
              </w:rPr>
            </w:pPr>
            <w:r>
              <w:rPr>
                <w:rFonts w:hint="eastAsia" w:ascii="宋体" w:hAnsi="宋体" w:cs="宋体"/>
                <w:color w:val="000000"/>
                <w:szCs w:val="21"/>
              </w:rPr>
              <w:t>10</w:t>
            </w:r>
          </w:p>
        </w:tc>
      </w:tr>
      <w:tr>
        <w:tblPrEx>
          <w:tblCellMar>
            <w:top w:w="0" w:type="dxa"/>
            <w:left w:w="108" w:type="dxa"/>
            <w:bottom w:w="0" w:type="dxa"/>
            <w:right w:w="108" w:type="dxa"/>
          </w:tblCellMar>
        </w:tblPrEx>
        <w:trPr>
          <w:trHeight w:val="109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szCs w:val="21"/>
              </w:rPr>
            </w:pPr>
            <w:r>
              <w:rPr>
                <w:rFonts w:hint="eastAsia" w:ascii="宋体" w:hAnsi="宋体" w:cs="宋体"/>
                <w:color w:val="000000"/>
                <w:szCs w:val="21"/>
              </w:rPr>
              <w:t>5</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000000"/>
                <w:szCs w:val="21"/>
              </w:rPr>
            </w:pPr>
            <w:r>
              <w:rPr>
                <w:rFonts w:hint="eastAsia" w:ascii="宋体" w:hAnsi="宋体" w:cs="宋体"/>
                <w:color w:val="000000"/>
                <w:szCs w:val="21"/>
              </w:rPr>
              <w:t>业绩</w:t>
            </w:r>
          </w:p>
        </w:tc>
        <w:tc>
          <w:tcPr>
            <w:tcW w:w="520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000000"/>
                <w:szCs w:val="21"/>
              </w:rPr>
            </w:pPr>
            <w:r>
              <w:rPr>
                <w:rFonts w:hint="eastAsia" w:ascii="宋体" w:hAnsi="宋体"/>
                <w:color w:val="000000"/>
                <w:szCs w:val="21"/>
              </w:rPr>
              <w:t>根据本企业连锁（便利、直营）店的数量决定其分值。店的数量最多者得10分，</w:t>
            </w:r>
            <w:r>
              <w:rPr>
                <w:rFonts w:hint="eastAsia" w:ascii="宋体" w:hAnsi="宋体" w:cs="宋体"/>
                <w:color w:val="000000"/>
                <w:szCs w:val="21"/>
              </w:rPr>
              <w:t>其余依次递减2分。须提供合同原件或复印件（加盖公章）</w:t>
            </w:r>
          </w:p>
        </w:tc>
        <w:tc>
          <w:tcPr>
            <w:tcW w:w="7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szCs w:val="21"/>
              </w:rPr>
            </w:pPr>
            <w:r>
              <w:rPr>
                <w:rFonts w:hint="eastAsia" w:ascii="宋体" w:hAnsi="宋体" w:cs="宋体"/>
                <w:color w:val="000000"/>
                <w:szCs w:val="21"/>
              </w:rPr>
              <w:t>10</w:t>
            </w:r>
          </w:p>
        </w:tc>
      </w:tr>
    </w:tbl>
    <w:p>
      <w:pPr>
        <w:adjustRightInd w:val="0"/>
        <w:snapToGrid w:val="0"/>
        <w:spacing w:line="360" w:lineRule="auto"/>
        <w:ind w:firstLine="480" w:firstLineChars="200"/>
        <w:rPr>
          <w:rFonts w:ascii="宋体" w:hAnsi="宋体"/>
          <w:color w:val="000000"/>
          <w:sz w:val="24"/>
        </w:rPr>
      </w:pP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2.汇总</w:t>
      </w:r>
    </w:p>
    <w:p>
      <w:pPr>
        <w:spacing w:line="360" w:lineRule="auto"/>
        <w:ind w:firstLine="470" w:firstLineChars="196"/>
        <w:rPr>
          <w:rFonts w:ascii="宋体" w:hAnsi="宋体"/>
          <w:color w:val="000000"/>
          <w:sz w:val="24"/>
        </w:rPr>
      </w:pPr>
      <w:r>
        <w:rPr>
          <w:rFonts w:hint="eastAsia" w:ascii="宋体" w:hAnsi="宋体"/>
          <w:color w:val="000000"/>
          <w:sz w:val="24"/>
        </w:rPr>
        <w:t>谈判小组将遵循公平、公正的原则，对投标人提供的服务承诺、资信情况、履约能力、经营管理方案等进行综合评审，并进行独立打分，谈判小组所评分值的算术平均值即为各供应商的技术得分，技术得分加商务得分为总分，总分最高者为第一成交候选人，总分第二高者为第二成交候选人。若出现二家供应商并列最高分，则确定报价较高者为成交候选人，若评审得分且最后报价相同的，按照技术指标优劣顺序推荐。安徽电子信息职业技术学院将按照推荐顺序确定成交人，若出现排名第一的成交候选人放弃资格，则按排名顺序依次确定排名第二的成交候选人。</w:t>
      </w:r>
    </w:p>
    <w:p>
      <w:pPr>
        <w:pStyle w:val="10"/>
        <w:widowControl w:val="0"/>
        <w:autoSpaceDE w:val="0"/>
        <w:autoSpaceDN w:val="0"/>
        <w:spacing w:before="0" w:after="0" w:line="240" w:lineRule="exact"/>
        <w:ind w:left="436"/>
        <w:jc w:val="left"/>
        <w:rPr>
          <w:rFonts w:ascii="宋体" w:hAnsi="宋体" w:eastAsia="宋体"/>
          <w:color w:val="000000"/>
          <w:kern w:val="2"/>
          <w:sz w:val="24"/>
          <w:szCs w:val="24"/>
          <w:lang w:val="en-US" w:eastAsia="zh-CN"/>
        </w:rPr>
      </w:pPr>
      <w:r>
        <w:rPr>
          <w:rFonts w:hint="eastAsia" w:ascii="宋体" w:hAnsi="宋体" w:eastAsia="宋体"/>
          <w:color w:val="000000"/>
          <w:kern w:val="2"/>
          <w:sz w:val="24"/>
          <w:szCs w:val="24"/>
          <w:lang w:val="en-US" w:eastAsia="zh-CN"/>
        </w:rPr>
        <w:t>采购人不公布得分，对供应商得分情况不做任何解释。</w:t>
      </w:r>
    </w:p>
    <w:p>
      <w:pPr>
        <w:spacing w:line="360" w:lineRule="auto"/>
        <w:ind w:firstLine="472" w:firstLineChars="196"/>
        <w:rPr>
          <w:rFonts w:ascii="宋体" w:hAnsi="宋体"/>
          <w:b/>
          <w:color w:val="000000"/>
          <w:sz w:val="24"/>
        </w:rPr>
      </w:pPr>
      <w:r>
        <w:rPr>
          <w:rFonts w:hint="eastAsia" w:ascii="宋体" w:hAnsi="宋体"/>
          <w:b/>
          <w:color w:val="000000"/>
          <w:sz w:val="24"/>
        </w:rPr>
        <w:t>十、确定成交供应商</w:t>
      </w:r>
    </w:p>
    <w:p>
      <w:pPr>
        <w:spacing w:line="360" w:lineRule="auto"/>
        <w:ind w:firstLine="470" w:firstLineChars="196"/>
        <w:rPr>
          <w:rFonts w:ascii="宋体" w:hAnsi="宋体"/>
          <w:color w:val="000000"/>
          <w:sz w:val="24"/>
        </w:rPr>
      </w:pPr>
      <w:r>
        <w:rPr>
          <w:rFonts w:hint="eastAsia" w:ascii="宋体" w:hAnsi="宋体"/>
          <w:color w:val="000000"/>
          <w:sz w:val="24"/>
        </w:rPr>
        <w:t>1</w:t>
      </w:r>
      <w:r>
        <w:rPr>
          <w:rFonts w:hint="eastAsia" w:ascii="宋体" w:hAnsi="宋体"/>
          <w:color w:val="000000"/>
          <w:sz w:val="24"/>
          <w:lang w:val="en-US" w:eastAsia="zh-CN"/>
        </w:rPr>
        <w:t>.</w:t>
      </w:r>
      <w:r>
        <w:rPr>
          <w:rFonts w:hint="eastAsia" w:ascii="宋体" w:hAnsi="宋体"/>
          <w:color w:val="000000"/>
          <w:sz w:val="24"/>
        </w:rPr>
        <w:t>谈判小组根据综合评审的结果确定成交候选人，并标明排列顺序。排名第一的成交候选人经采购人确定为成交投标人后，在安徽电子信息职业技术学院校园网站公示，公示期为三个工作日。</w:t>
      </w:r>
    </w:p>
    <w:p>
      <w:pPr>
        <w:spacing w:line="360" w:lineRule="auto"/>
        <w:ind w:firstLine="470" w:firstLineChars="196"/>
        <w:rPr>
          <w:rFonts w:ascii="宋体" w:hAnsi="宋体"/>
          <w:color w:val="000000"/>
          <w:sz w:val="24"/>
        </w:rPr>
      </w:pPr>
      <w:r>
        <w:rPr>
          <w:rFonts w:hint="eastAsia" w:ascii="宋体" w:hAnsi="宋体"/>
          <w:color w:val="000000"/>
          <w:sz w:val="24"/>
        </w:rPr>
        <w:t>2</w:t>
      </w:r>
      <w:r>
        <w:rPr>
          <w:rFonts w:hint="eastAsia" w:ascii="宋体" w:hAnsi="宋体"/>
          <w:color w:val="000000"/>
          <w:sz w:val="24"/>
          <w:lang w:val="en-US" w:eastAsia="zh-CN"/>
        </w:rPr>
        <w:t>.</w:t>
      </w:r>
      <w:r>
        <w:rPr>
          <w:rFonts w:hint="eastAsia" w:ascii="宋体" w:hAnsi="宋体"/>
          <w:color w:val="000000"/>
          <w:sz w:val="24"/>
        </w:rPr>
        <w:t>如谈判小组认为有必要，可以对排名第一的成交候选人就响应文件所提供的内容是否符合谈判文件的要求进行资格后审。如果确定排名第一的成交候选人无法履行合同，将依次对其他成交候选人进行类似的审查。</w:t>
      </w:r>
    </w:p>
    <w:p>
      <w:pPr>
        <w:spacing w:line="360" w:lineRule="auto"/>
        <w:ind w:firstLine="470" w:firstLineChars="196"/>
        <w:rPr>
          <w:rFonts w:ascii="宋体" w:hAnsi="宋体"/>
          <w:color w:val="000000"/>
          <w:sz w:val="24"/>
        </w:rPr>
      </w:pPr>
      <w:r>
        <w:rPr>
          <w:rFonts w:hint="eastAsia" w:ascii="宋体" w:hAnsi="宋体"/>
          <w:color w:val="000000"/>
          <w:sz w:val="24"/>
        </w:rPr>
        <w:t>排名第一的成交候选人放弃成交、不按照谈判文件要求提交履约保证金、无故不能履行合同，或者被查实存在影响成交结果的违法行为等情形，不符合成交条件的，采购人可以按照谈判小组提出的成交候选人名单排序依次确定其他成交候选人为成交投标人，也可以重新谈判。</w:t>
      </w:r>
    </w:p>
    <w:p>
      <w:pPr>
        <w:spacing w:line="360" w:lineRule="auto"/>
        <w:ind w:firstLine="470" w:firstLineChars="196"/>
        <w:rPr>
          <w:rFonts w:ascii="宋体" w:hAnsi="宋体"/>
          <w:color w:val="000000"/>
          <w:sz w:val="24"/>
        </w:rPr>
      </w:pPr>
      <w:r>
        <w:rPr>
          <w:rFonts w:hint="eastAsia" w:ascii="宋体" w:hAnsi="宋体"/>
          <w:color w:val="000000"/>
          <w:sz w:val="24"/>
        </w:rPr>
        <w:t>3</w:t>
      </w:r>
      <w:r>
        <w:rPr>
          <w:rFonts w:hint="eastAsia" w:ascii="宋体" w:hAnsi="宋体"/>
          <w:color w:val="000000"/>
          <w:sz w:val="24"/>
          <w:lang w:val="en-US" w:eastAsia="zh-CN"/>
        </w:rPr>
        <w:t>.</w:t>
      </w:r>
      <w:r>
        <w:rPr>
          <w:rFonts w:hint="eastAsia" w:ascii="宋体" w:hAnsi="宋体"/>
          <w:color w:val="000000"/>
          <w:sz w:val="24"/>
        </w:rPr>
        <w:t>不接受最终审查或在最终审查过程中提供虚假资料的成交投标人，成交投标人资格将被取消。</w:t>
      </w:r>
    </w:p>
    <w:p>
      <w:pPr>
        <w:spacing w:line="360" w:lineRule="auto"/>
        <w:ind w:firstLine="472" w:firstLineChars="196"/>
        <w:rPr>
          <w:rFonts w:ascii="宋体" w:hAnsi="宋体"/>
          <w:b/>
          <w:color w:val="000000"/>
          <w:sz w:val="24"/>
        </w:rPr>
      </w:pPr>
      <w:r>
        <w:rPr>
          <w:rFonts w:hint="eastAsia" w:ascii="宋体" w:hAnsi="宋体"/>
          <w:b/>
          <w:color w:val="000000"/>
          <w:sz w:val="24"/>
        </w:rPr>
        <w:t>十一、成交通知书</w:t>
      </w:r>
    </w:p>
    <w:p>
      <w:pPr>
        <w:spacing w:line="360" w:lineRule="auto"/>
        <w:ind w:firstLine="470" w:firstLineChars="196"/>
        <w:rPr>
          <w:rFonts w:ascii="宋体" w:hAnsi="宋体"/>
          <w:color w:val="000000"/>
          <w:sz w:val="24"/>
        </w:rPr>
      </w:pPr>
      <w:r>
        <w:rPr>
          <w:rFonts w:hint="eastAsia" w:ascii="宋体" w:hAnsi="宋体"/>
          <w:color w:val="000000"/>
          <w:sz w:val="24"/>
        </w:rPr>
        <w:t>1公示期满后各方均无异议或最终审查结果无误的成交投标人，安徽电子信息职业技术学院将向其发出成交通知书。成交通知书是合同的组成部分。</w:t>
      </w:r>
    </w:p>
    <w:p>
      <w:pPr>
        <w:spacing w:line="360" w:lineRule="auto"/>
        <w:ind w:firstLine="472" w:firstLineChars="196"/>
        <w:rPr>
          <w:rFonts w:ascii="宋体" w:hAnsi="宋体"/>
          <w:b/>
          <w:color w:val="000000"/>
          <w:sz w:val="24"/>
        </w:rPr>
      </w:pPr>
      <w:r>
        <w:rPr>
          <w:rFonts w:hint="eastAsia" w:ascii="宋体" w:hAnsi="宋体"/>
          <w:b/>
          <w:color w:val="000000"/>
          <w:sz w:val="24"/>
        </w:rPr>
        <w:t>十二、履约保证金</w:t>
      </w:r>
    </w:p>
    <w:p>
      <w:pPr>
        <w:spacing w:line="360" w:lineRule="auto"/>
        <w:ind w:firstLine="470" w:firstLineChars="196"/>
        <w:rPr>
          <w:rFonts w:ascii="宋体" w:hAnsi="宋体"/>
          <w:color w:val="000000"/>
          <w:sz w:val="24"/>
        </w:rPr>
      </w:pPr>
      <w:r>
        <w:rPr>
          <w:rFonts w:hint="eastAsia" w:ascii="宋体" w:hAnsi="宋体"/>
          <w:color w:val="000000"/>
          <w:sz w:val="24"/>
        </w:rPr>
        <w:t>1</w:t>
      </w:r>
      <w:r>
        <w:rPr>
          <w:rFonts w:hint="eastAsia" w:ascii="宋体" w:hAnsi="宋体"/>
          <w:color w:val="000000"/>
          <w:sz w:val="24"/>
          <w:lang w:val="en-US" w:eastAsia="zh-CN"/>
        </w:rPr>
        <w:t>.</w:t>
      </w:r>
      <w:r>
        <w:rPr>
          <w:rFonts w:hint="eastAsia" w:ascii="宋体" w:hAnsi="宋体"/>
          <w:color w:val="000000"/>
          <w:sz w:val="24"/>
        </w:rPr>
        <w:t>成交投标人在收到成交通知书后两个工作日内，应按照规定缴纳履约保证金，履约保证金为3万元人民币。</w:t>
      </w:r>
    </w:p>
    <w:p>
      <w:pPr>
        <w:spacing w:line="360" w:lineRule="auto"/>
        <w:ind w:firstLine="470" w:firstLineChars="196"/>
        <w:rPr>
          <w:rFonts w:ascii="宋体" w:hAnsi="宋体"/>
          <w:color w:val="000000"/>
          <w:sz w:val="24"/>
        </w:rPr>
      </w:pPr>
      <w:r>
        <w:rPr>
          <w:rFonts w:hint="eastAsia" w:ascii="宋体" w:hAnsi="宋体"/>
          <w:color w:val="000000"/>
          <w:sz w:val="24"/>
        </w:rPr>
        <w:t>2</w:t>
      </w:r>
      <w:r>
        <w:rPr>
          <w:rFonts w:hint="eastAsia" w:ascii="宋体" w:hAnsi="宋体"/>
          <w:color w:val="000000"/>
          <w:sz w:val="24"/>
          <w:lang w:val="en-US" w:eastAsia="zh-CN"/>
        </w:rPr>
        <w:t>.</w:t>
      </w:r>
      <w:r>
        <w:rPr>
          <w:rFonts w:hint="eastAsia" w:ascii="宋体" w:hAnsi="宋体"/>
          <w:color w:val="000000"/>
          <w:sz w:val="24"/>
        </w:rPr>
        <w:t>如果成交投标人未按照上款规定交纳履约保证金，将被取消成交资格，并没收其谈判保证金。在此情况下采购人可从合格的成交候选人中另行确定成交投标人，或者重新开展谈判活动。</w:t>
      </w:r>
    </w:p>
    <w:p>
      <w:pPr>
        <w:spacing w:line="360" w:lineRule="auto"/>
        <w:ind w:firstLine="472" w:firstLineChars="196"/>
        <w:rPr>
          <w:rFonts w:ascii="宋体" w:hAnsi="宋体"/>
          <w:b/>
          <w:color w:val="000000"/>
          <w:sz w:val="24"/>
        </w:rPr>
      </w:pPr>
      <w:r>
        <w:rPr>
          <w:rFonts w:hint="eastAsia" w:ascii="宋体" w:hAnsi="宋体"/>
          <w:b/>
          <w:color w:val="000000"/>
          <w:sz w:val="24"/>
        </w:rPr>
        <w:t>十三、签订合同</w:t>
      </w:r>
    </w:p>
    <w:p>
      <w:pPr>
        <w:spacing w:line="360" w:lineRule="auto"/>
        <w:ind w:firstLine="470" w:firstLineChars="196"/>
        <w:rPr>
          <w:rFonts w:ascii="宋体" w:hAnsi="宋体"/>
          <w:color w:val="000000"/>
          <w:sz w:val="24"/>
        </w:rPr>
      </w:pPr>
      <w:r>
        <w:rPr>
          <w:rFonts w:hint="eastAsia" w:ascii="宋体" w:hAnsi="宋体"/>
          <w:color w:val="000000"/>
          <w:sz w:val="24"/>
        </w:rPr>
        <w:t>1</w:t>
      </w:r>
      <w:r>
        <w:rPr>
          <w:rFonts w:hint="eastAsia" w:ascii="宋体" w:hAnsi="宋体"/>
          <w:color w:val="000000"/>
          <w:sz w:val="24"/>
          <w:lang w:val="en-US" w:eastAsia="zh-CN"/>
        </w:rPr>
        <w:t>.</w:t>
      </w:r>
      <w:r>
        <w:rPr>
          <w:rFonts w:hint="eastAsia" w:ascii="宋体" w:hAnsi="宋体"/>
          <w:color w:val="000000"/>
          <w:sz w:val="24"/>
        </w:rPr>
        <w:t>成交投标人应按规定的时间、地点与采购人签订采购合同。</w:t>
      </w:r>
    </w:p>
    <w:p>
      <w:pPr>
        <w:spacing w:line="360" w:lineRule="auto"/>
        <w:ind w:firstLine="470" w:firstLineChars="196"/>
        <w:rPr>
          <w:rFonts w:ascii="宋体" w:hAnsi="宋体"/>
          <w:color w:val="000000"/>
          <w:sz w:val="24"/>
        </w:rPr>
      </w:pPr>
      <w:r>
        <w:rPr>
          <w:rFonts w:hint="eastAsia" w:ascii="宋体" w:hAnsi="宋体"/>
          <w:color w:val="000000"/>
          <w:sz w:val="24"/>
        </w:rPr>
        <w:t>2</w:t>
      </w:r>
      <w:r>
        <w:rPr>
          <w:rFonts w:hint="eastAsia" w:ascii="宋体" w:hAnsi="宋体"/>
          <w:color w:val="000000"/>
          <w:sz w:val="24"/>
          <w:lang w:val="en-US" w:eastAsia="zh-CN"/>
        </w:rPr>
        <w:t>.</w:t>
      </w:r>
      <w:r>
        <w:rPr>
          <w:rFonts w:hint="eastAsia" w:ascii="宋体" w:hAnsi="宋体"/>
          <w:color w:val="000000"/>
          <w:sz w:val="24"/>
        </w:rPr>
        <w:t>采购双方应按照谈判文件、响应文件及谈判过程中的有关澄清、说明、或补正文件的内容签订合同，不得擅自变更。合同的标的、价款、质量、履行期限等主要条款应当与谈判文件和成交投标人的响应文件的内容一致，采购人和成交投标人不得再行订立背离合同实质性内容的其他协议。</w:t>
      </w:r>
    </w:p>
    <w:p>
      <w:pPr>
        <w:spacing w:line="360" w:lineRule="auto"/>
        <w:ind w:firstLine="470" w:firstLineChars="196"/>
        <w:rPr>
          <w:rFonts w:ascii="宋体" w:hAnsi="宋体"/>
          <w:color w:val="000000"/>
          <w:sz w:val="24"/>
        </w:rPr>
      </w:pPr>
    </w:p>
    <w:p>
      <w:pPr>
        <w:spacing w:line="360" w:lineRule="auto"/>
        <w:ind w:firstLine="470" w:firstLineChars="196"/>
        <w:rPr>
          <w:rFonts w:ascii="宋体" w:hAnsi="宋体"/>
          <w:color w:val="000000"/>
          <w:sz w:val="24"/>
        </w:rPr>
      </w:pPr>
    </w:p>
    <w:p>
      <w:pPr>
        <w:spacing w:line="360" w:lineRule="auto"/>
        <w:ind w:firstLine="708" w:firstLineChars="196"/>
        <w:jc w:val="center"/>
        <w:rPr>
          <w:rFonts w:ascii="宋体" w:hAnsi="宋体"/>
          <w:b/>
          <w:color w:val="000000"/>
          <w:sz w:val="36"/>
          <w:szCs w:val="36"/>
        </w:rPr>
      </w:pPr>
      <w:bookmarkStart w:id="2" w:name="_GoBack"/>
      <w:bookmarkEnd w:id="2"/>
      <w:r>
        <w:rPr>
          <w:rFonts w:hint="eastAsia" w:ascii="宋体" w:hAnsi="宋体"/>
          <w:b/>
          <w:color w:val="000000"/>
          <w:sz w:val="36"/>
          <w:szCs w:val="36"/>
        </w:rPr>
        <w:t>采购合同</w:t>
      </w:r>
    </w:p>
    <w:p>
      <w:pPr>
        <w:pStyle w:val="4"/>
        <w:adjustRightInd w:val="0"/>
        <w:snapToGrid w:val="0"/>
        <w:spacing w:line="520" w:lineRule="exact"/>
        <w:ind w:left="0" w:leftChars="0"/>
        <w:jc w:val="center"/>
        <w:rPr>
          <w:rFonts w:ascii="宋体" w:hAnsi="宋体"/>
          <w:b/>
          <w:sz w:val="32"/>
          <w:szCs w:val="32"/>
        </w:rPr>
      </w:pPr>
    </w:p>
    <w:p>
      <w:pPr>
        <w:pStyle w:val="4"/>
        <w:adjustRightInd w:val="0"/>
        <w:snapToGrid w:val="0"/>
        <w:spacing w:line="520" w:lineRule="exact"/>
        <w:ind w:left="0" w:leftChars="0"/>
        <w:jc w:val="center"/>
        <w:rPr>
          <w:rFonts w:ascii="宋体" w:hAnsi="宋体"/>
          <w:b/>
          <w:sz w:val="32"/>
          <w:szCs w:val="32"/>
        </w:rPr>
      </w:pPr>
      <w:r>
        <w:rPr>
          <w:rFonts w:hint="eastAsia" w:ascii="宋体" w:hAnsi="宋体"/>
          <w:b/>
          <w:sz w:val="32"/>
          <w:szCs w:val="32"/>
        </w:rPr>
        <w:t>安徽电子信息职业技术学院校园超市经营服务合同</w:t>
      </w:r>
    </w:p>
    <w:p>
      <w:pPr>
        <w:pStyle w:val="4"/>
        <w:adjustRightInd w:val="0"/>
        <w:snapToGrid w:val="0"/>
        <w:spacing w:after="0" w:line="240" w:lineRule="exact"/>
        <w:ind w:left="0" w:leftChars="0"/>
        <w:jc w:val="center"/>
        <w:rPr>
          <w:rFonts w:ascii="仿宋_GB2312" w:eastAsia="仿宋_GB2312"/>
          <w:b/>
          <w:sz w:val="36"/>
          <w:szCs w:val="36"/>
        </w:rPr>
      </w:pPr>
    </w:p>
    <w:p>
      <w:pPr>
        <w:pStyle w:val="4"/>
        <w:adjustRightInd w:val="0"/>
        <w:snapToGrid w:val="0"/>
        <w:spacing w:after="0" w:line="600" w:lineRule="exact"/>
        <w:ind w:left="0" w:leftChars="0"/>
        <w:rPr>
          <w:rFonts w:ascii="宋体" w:hAnsi="宋体"/>
          <w:kern w:val="0"/>
          <w:sz w:val="28"/>
          <w:szCs w:val="28"/>
        </w:rPr>
      </w:pPr>
      <w:r>
        <w:rPr>
          <w:rFonts w:hint="eastAsia" w:ascii="宋体" w:hAnsi="宋体"/>
          <w:b/>
          <w:kern w:val="0"/>
          <w:sz w:val="28"/>
          <w:szCs w:val="28"/>
        </w:rPr>
        <w:t>甲方：</w:t>
      </w:r>
      <w:r>
        <w:rPr>
          <w:rFonts w:hint="eastAsia" w:ascii="宋体" w:hAnsi="宋体"/>
          <w:kern w:val="0"/>
          <w:sz w:val="28"/>
          <w:szCs w:val="28"/>
        </w:rPr>
        <w:t>安徽电子信息职业技术学院</w:t>
      </w:r>
    </w:p>
    <w:p>
      <w:pPr>
        <w:pStyle w:val="4"/>
        <w:adjustRightInd w:val="0"/>
        <w:snapToGrid w:val="0"/>
        <w:spacing w:after="0" w:line="600" w:lineRule="exact"/>
        <w:ind w:left="0" w:leftChars="0"/>
        <w:rPr>
          <w:rFonts w:ascii="宋体" w:hAnsi="宋体"/>
          <w:b/>
          <w:kern w:val="0"/>
          <w:sz w:val="28"/>
          <w:szCs w:val="28"/>
        </w:rPr>
      </w:pPr>
      <w:r>
        <w:rPr>
          <w:rFonts w:hint="eastAsia" w:ascii="宋体" w:hAnsi="宋体"/>
          <w:b/>
          <w:kern w:val="0"/>
          <w:sz w:val="28"/>
          <w:szCs w:val="28"/>
        </w:rPr>
        <w:t>乙方：</w:t>
      </w:r>
    </w:p>
    <w:p>
      <w:pPr>
        <w:pStyle w:val="4"/>
        <w:adjustRightInd w:val="0"/>
        <w:snapToGrid w:val="0"/>
        <w:spacing w:after="0" w:line="360" w:lineRule="exact"/>
        <w:ind w:left="0" w:leftChars="0"/>
        <w:rPr>
          <w:rFonts w:ascii="宋体" w:hAnsi="宋体"/>
          <w:kern w:val="0"/>
          <w:sz w:val="28"/>
          <w:szCs w:val="28"/>
        </w:rPr>
      </w:pPr>
    </w:p>
    <w:p>
      <w:pPr>
        <w:pStyle w:val="4"/>
        <w:adjustRightInd w:val="0"/>
        <w:snapToGrid w:val="0"/>
        <w:spacing w:after="0" w:line="480" w:lineRule="exact"/>
        <w:ind w:left="0" w:leftChars="0" w:firstLine="560" w:firstLineChars="200"/>
        <w:rPr>
          <w:rFonts w:ascii="宋体" w:hAnsi="宋体"/>
          <w:kern w:val="0"/>
          <w:sz w:val="28"/>
          <w:szCs w:val="28"/>
        </w:rPr>
      </w:pPr>
      <w:r>
        <w:rPr>
          <w:rFonts w:hint="eastAsia" w:ascii="宋体" w:hAnsi="宋体"/>
          <w:kern w:val="0"/>
          <w:sz w:val="28"/>
          <w:szCs w:val="28"/>
        </w:rPr>
        <w:t>根据《中华人民共和国政府采购法》、《中华人民共和国合同法》及相关法律法规之规定，结合本项目成交结果，本合同当事人在平等、自愿的基础上，经充分协商达成一致，甲方与乙方签订</w:t>
      </w:r>
      <w:r>
        <w:rPr>
          <w:rFonts w:hint="eastAsia" w:ascii="宋体" w:hAnsi="宋体"/>
          <w:sz w:val="28"/>
          <w:szCs w:val="28"/>
        </w:rPr>
        <w:t>校园超市经营服务合同</w:t>
      </w:r>
      <w:r>
        <w:rPr>
          <w:rFonts w:hint="eastAsia" w:ascii="宋体" w:hAnsi="宋体"/>
          <w:kern w:val="0"/>
          <w:sz w:val="28"/>
          <w:szCs w:val="28"/>
        </w:rPr>
        <w:t>如下：</w:t>
      </w:r>
    </w:p>
    <w:p>
      <w:pPr>
        <w:pStyle w:val="4"/>
        <w:adjustRightInd w:val="0"/>
        <w:snapToGrid w:val="0"/>
        <w:spacing w:after="0" w:line="480" w:lineRule="exact"/>
        <w:ind w:left="0" w:leftChars="0" w:firstLine="562" w:firstLineChars="200"/>
        <w:rPr>
          <w:rFonts w:ascii="宋体" w:hAnsi="宋体"/>
          <w:b/>
          <w:kern w:val="0"/>
          <w:sz w:val="28"/>
          <w:szCs w:val="28"/>
        </w:rPr>
      </w:pPr>
      <w:r>
        <w:rPr>
          <w:rFonts w:hint="eastAsia" w:ascii="宋体" w:hAnsi="宋体"/>
          <w:b/>
          <w:kern w:val="0"/>
          <w:sz w:val="28"/>
          <w:szCs w:val="28"/>
        </w:rPr>
        <w:t>一、甲方的权利和义务</w:t>
      </w:r>
    </w:p>
    <w:p>
      <w:pPr>
        <w:pStyle w:val="4"/>
        <w:adjustRightInd w:val="0"/>
        <w:snapToGrid w:val="0"/>
        <w:spacing w:after="0" w:line="480" w:lineRule="exact"/>
        <w:ind w:left="0" w:leftChars="0" w:firstLine="560" w:firstLineChars="200"/>
        <w:rPr>
          <w:rFonts w:ascii="宋体" w:hAnsi="宋体"/>
          <w:kern w:val="0"/>
          <w:sz w:val="28"/>
          <w:szCs w:val="28"/>
        </w:rPr>
      </w:pPr>
      <w:r>
        <w:rPr>
          <w:rFonts w:hint="eastAsia" w:ascii="宋体" w:hAnsi="宋体"/>
          <w:kern w:val="0"/>
          <w:sz w:val="28"/>
          <w:szCs w:val="28"/>
        </w:rPr>
        <w:t>1．甲方将所属</w:t>
      </w:r>
      <w:r>
        <w:rPr>
          <w:rFonts w:hint="eastAsia" w:ascii="宋体" w:hAnsi="宋体"/>
          <w:kern w:val="0"/>
          <w:sz w:val="28"/>
          <w:szCs w:val="28"/>
          <w:u w:val="single"/>
        </w:rPr>
        <w:t xml:space="preserve">                  </w:t>
      </w:r>
      <w:r>
        <w:rPr>
          <w:rFonts w:hint="eastAsia" w:ascii="宋体" w:hAnsi="宋体"/>
          <w:kern w:val="0"/>
          <w:sz w:val="28"/>
          <w:szCs w:val="28"/>
        </w:rPr>
        <w:t>由乙方负责管理与经营。经营服务范围（品种归类）：</w:t>
      </w:r>
      <w:r>
        <w:rPr>
          <w:rFonts w:hint="eastAsia" w:ascii="宋体" w:hAnsi="宋体"/>
          <w:kern w:val="0"/>
          <w:sz w:val="28"/>
          <w:szCs w:val="28"/>
          <w:u w:val="single"/>
        </w:rPr>
        <w:t xml:space="preserve">                                      </w:t>
      </w:r>
      <w:r>
        <w:rPr>
          <w:rFonts w:hint="eastAsia" w:ascii="宋体" w:hAnsi="宋体"/>
          <w:kern w:val="0"/>
          <w:sz w:val="28"/>
          <w:szCs w:val="28"/>
        </w:rPr>
        <w:t>。</w:t>
      </w:r>
    </w:p>
    <w:p>
      <w:pPr>
        <w:pStyle w:val="4"/>
        <w:adjustRightInd w:val="0"/>
        <w:snapToGrid w:val="0"/>
        <w:spacing w:after="0" w:line="480" w:lineRule="exact"/>
        <w:ind w:left="0" w:leftChars="0" w:firstLine="570"/>
        <w:rPr>
          <w:rFonts w:ascii="宋体" w:hAnsi="宋体"/>
          <w:kern w:val="0"/>
          <w:sz w:val="28"/>
          <w:szCs w:val="28"/>
        </w:rPr>
      </w:pPr>
      <w:r>
        <w:rPr>
          <w:rFonts w:hint="eastAsia" w:ascii="宋体" w:hAnsi="宋体"/>
          <w:kern w:val="0"/>
          <w:sz w:val="28"/>
          <w:szCs w:val="28"/>
        </w:rPr>
        <w:t>2．甲方提供乙方经营服务范围内现有工作场所，按房屋现状交予乙方，乙方确认在签订本合同之前对租赁房屋进行了实地踏勘，同意按现状接收房屋。</w:t>
      </w:r>
    </w:p>
    <w:p>
      <w:pPr>
        <w:pStyle w:val="4"/>
        <w:adjustRightInd w:val="0"/>
        <w:snapToGrid w:val="0"/>
        <w:spacing w:after="0" w:line="480" w:lineRule="exact"/>
        <w:ind w:left="0" w:leftChars="0" w:firstLine="570"/>
        <w:rPr>
          <w:rFonts w:ascii="宋体" w:hAnsi="宋体"/>
          <w:kern w:val="0"/>
          <w:sz w:val="28"/>
          <w:szCs w:val="28"/>
        </w:rPr>
      </w:pPr>
      <w:r>
        <w:rPr>
          <w:rFonts w:hint="eastAsia" w:ascii="宋体" w:hAnsi="宋体"/>
          <w:kern w:val="0"/>
          <w:sz w:val="28"/>
          <w:szCs w:val="28"/>
        </w:rPr>
        <w:t>3．甲方为乙方提供与乙方经营服务相关的财务服务。</w:t>
      </w:r>
    </w:p>
    <w:p>
      <w:pPr>
        <w:pStyle w:val="4"/>
        <w:adjustRightInd w:val="0"/>
        <w:snapToGrid w:val="0"/>
        <w:spacing w:after="0" w:line="480" w:lineRule="exact"/>
        <w:ind w:left="0" w:leftChars="0" w:firstLine="560" w:firstLineChars="200"/>
        <w:rPr>
          <w:rFonts w:ascii="宋体" w:hAnsi="宋体"/>
          <w:kern w:val="0"/>
          <w:sz w:val="28"/>
          <w:szCs w:val="28"/>
        </w:rPr>
      </w:pPr>
      <w:r>
        <w:rPr>
          <w:rFonts w:hint="eastAsia" w:ascii="宋体" w:hAnsi="宋体"/>
          <w:kern w:val="0"/>
          <w:sz w:val="28"/>
          <w:szCs w:val="28"/>
        </w:rPr>
        <w:t>4．甲方对乙方各项经营服务方案具有指导权和监督权。</w:t>
      </w:r>
    </w:p>
    <w:p>
      <w:pPr>
        <w:pStyle w:val="4"/>
        <w:adjustRightInd w:val="0"/>
        <w:snapToGrid w:val="0"/>
        <w:spacing w:after="0" w:line="480" w:lineRule="exact"/>
        <w:ind w:left="0" w:leftChars="0" w:firstLine="560" w:firstLineChars="200"/>
        <w:rPr>
          <w:rFonts w:ascii="宋体" w:hAnsi="宋体"/>
          <w:kern w:val="0"/>
          <w:sz w:val="28"/>
          <w:szCs w:val="28"/>
        </w:rPr>
      </w:pPr>
      <w:r>
        <w:rPr>
          <w:rFonts w:hint="eastAsia" w:ascii="宋体" w:hAnsi="宋体"/>
          <w:kern w:val="0"/>
          <w:sz w:val="28"/>
          <w:szCs w:val="28"/>
        </w:rPr>
        <w:t>5．甲方对乙方的商品销售、卫生、服务等方面工作有检查、督促整改的权利；对乙方的经营状况和经营服务行为进行定期和不定期的检查、监督，并公布检查结果。</w:t>
      </w:r>
    </w:p>
    <w:p>
      <w:pPr>
        <w:pStyle w:val="4"/>
        <w:adjustRightInd w:val="0"/>
        <w:snapToGrid w:val="0"/>
        <w:spacing w:after="0" w:line="480" w:lineRule="exact"/>
        <w:ind w:left="0" w:leftChars="0" w:firstLine="560" w:firstLineChars="200"/>
        <w:rPr>
          <w:rFonts w:ascii="宋体" w:hAnsi="宋体"/>
          <w:kern w:val="0"/>
          <w:sz w:val="28"/>
          <w:szCs w:val="28"/>
        </w:rPr>
      </w:pPr>
      <w:r>
        <w:rPr>
          <w:rFonts w:hint="eastAsia" w:ascii="宋体" w:hAnsi="宋体"/>
          <w:kern w:val="0"/>
          <w:sz w:val="28"/>
          <w:szCs w:val="28"/>
        </w:rPr>
        <w:t>6．甲方负责乙方营业场所的水、电等正常供应，费用根据乙方实际使用量据实缴给甲方。</w:t>
      </w:r>
    </w:p>
    <w:p>
      <w:pPr>
        <w:pStyle w:val="4"/>
        <w:adjustRightInd w:val="0"/>
        <w:snapToGrid w:val="0"/>
        <w:spacing w:after="0" w:line="480" w:lineRule="exact"/>
        <w:ind w:left="0" w:leftChars="0" w:firstLine="562" w:firstLineChars="200"/>
        <w:rPr>
          <w:rFonts w:ascii="宋体" w:hAnsi="宋体"/>
          <w:b/>
          <w:kern w:val="0"/>
          <w:sz w:val="28"/>
          <w:szCs w:val="28"/>
        </w:rPr>
      </w:pPr>
      <w:r>
        <w:rPr>
          <w:rFonts w:hint="eastAsia" w:ascii="宋体" w:hAnsi="宋体"/>
          <w:b/>
          <w:kern w:val="0"/>
          <w:sz w:val="28"/>
          <w:szCs w:val="28"/>
        </w:rPr>
        <w:t>二、乙方的权利和义务</w:t>
      </w:r>
    </w:p>
    <w:p>
      <w:pPr>
        <w:spacing w:line="480" w:lineRule="exact"/>
        <w:ind w:firstLine="560" w:firstLineChars="200"/>
        <w:rPr>
          <w:rFonts w:ascii="宋体" w:hAnsi="宋体"/>
          <w:sz w:val="28"/>
          <w:szCs w:val="28"/>
        </w:rPr>
      </w:pPr>
      <w:r>
        <w:rPr>
          <w:rFonts w:hint="eastAsia" w:ascii="宋体" w:hAnsi="宋体"/>
          <w:sz w:val="28"/>
          <w:szCs w:val="28"/>
        </w:rPr>
        <w:t>1.乙方必须严格遵守《中华人民共和国食品安全法》和学校的有关管理规定，确保经销商品的卫生和安全。</w:t>
      </w:r>
    </w:p>
    <w:p>
      <w:pPr>
        <w:widowControl/>
        <w:shd w:val="clear" w:color="auto" w:fill="FFFFFF"/>
        <w:spacing w:line="500" w:lineRule="atLeast"/>
        <w:ind w:firstLine="560" w:firstLineChars="200"/>
        <w:jc w:val="left"/>
        <w:rPr>
          <w:rFonts w:ascii="宋体" w:hAnsi="宋体" w:cs="Tahoma"/>
          <w:sz w:val="28"/>
          <w:szCs w:val="28"/>
        </w:rPr>
      </w:pPr>
      <w:r>
        <w:rPr>
          <w:rFonts w:hint="eastAsia" w:ascii="宋体" w:hAnsi="宋体" w:cs="楷体"/>
          <w:kern w:val="0"/>
          <w:sz w:val="28"/>
          <w:szCs w:val="28"/>
          <w:shd w:val="clear" w:color="auto" w:fill="FFFFFF"/>
        </w:rPr>
        <w:t>2.乙方自行办理营业执照、食品经营许可证及其他证照，并且承担在经营期间发生的涉及工商、税务、卫生、安全责任事故等一切费用。</w:t>
      </w:r>
    </w:p>
    <w:p>
      <w:pPr>
        <w:spacing w:line="480" w:lineRule="exact"/>
        <w:ind w:firstLine="560" w:firstLineChars="200"/>
        <w:rPr>
          <w:rFonts w:ascii="宋体" w:hAnsi="宋体"/>
          <w:b/>
          <w:sz w:val="28"/>
          <w:szCs w:val="28"/>
        </w:rPr>
      </w:pPr>
      <w:r>
        <w:rPr>
          <w:rFonts w:hint="eastAsia" w:ascii="宋体" w:hAnsi="宋体"/>
          <w:sz w:val="28"/>
          <w:szCs w:val="28"/>
        </w:rPr>
        <w:t>3.乙方必须无条件接受上级食品、卫生监督部门及学院管理部门等对食品卫生、经营范围等方面的检查、监督。</w:t>
      </w:r>
    </w:p>
    <w:p>
      <w:pPr>
        <w:spacing w:line="480" w:lineRule="exact"/>
        <w:ind w:firstLine="560" w:firstLineChars="200"/>
        <w:rPr>
          <w:rFonts w:ascii="宋体" w:hAnsi="宋体"/>
          <w:sz w:val="28"/>
          <w:szCs w:val="28"/>
        </w:rPr>
      </w:pPr>
      <w:r>
        <w:rPr>
          <w:rFonts w:hint="eastAsia" w:ascii="宋体" w:hAnsi="宋体" w:cs="楷体"/>
          <w:kern w:val="0"/>
          <w:sz w:val="28"/>
          <w:szCs w:val="28"/>
          <w:shd w:val="clear" w:color="auto" w:fill="FFFFFF"/>
        </w:rPr>
        <w:t>4.乙方的经营范围：预包装食品、盒装饮料、乳制品；书籍、生活用品、文体用品、教育用品等，不得经营假冒伪劣商品和“三无”商品。</w:t>
      </w:r>
      <w:r>
        <w:rPr>
          <w:rFonts w:hint="eastAsia" w:ascii="宋体" w:hAnsi="宋体"/>
          <w:sz w:val="28"/>
          <w:szCs w:val="28"/>
        </w:rPr>
        <w:t>首次发现违反本条款的，扣罚乙方违约金1000元，第二次发现扣罚违约金3000元，第三次发现扣罚违约金5000元，并终止超市经营服务合同。出现严重问题者，停业整顿、没收保证金或清除出校。</w:t>
      </w:r>
    </w:p>
    <w:p>
      <w:pPr>
        <w:widowControl/>
        <w:shd w:val="clear" w:color="auto" w:fill="FFFFFF"/>
        <w:spacing w:line="500" w:lineRule="atLeast"/>
        <w:ind w:firstLine="560" w:firstLineChars="200"/>
        <w:jc w:val="left"/>
        <w:rPr>
          <w:rFonts w:ascii="宋体" w:hAnsi="宋体" w:cs="Tahoma"/>
          <w:sz w:val="28"/>
          <w:szCs w:val="28"/>
        </w:rPr>
      </w:pPr>
      <w:r>
        <w:rPr>
          <w:rFonts w:hint="eastAsia" w:ascii="宋体" w:hAnsi="宋体" w:cs="楷体"/>
          <w:kern w:val="0"/>
          <w:sz w:val="28"/>
          <w:szCs w:val="28"/>
          <w:shd w:val="clear" w:color="auto" w:fill="FFFFFF"/>
        </w:rPr>
        <w:t>5.乙方所有的商品必须明码标价，并确保所有商品价格不得高于周边超市同类商品价格。</w:t>
      </w:r>
    </w:p>
    <w:p>
      <w:pPr>
        <w:widowControl/>
        <w:shd w:val="clear" w:color="auto" w:fill="FFFFFF"/>
        <w:spacing w:line="500" w:lineRule="atLeast"/>
        <w:ind w:firstLine="560" w:firstLineChars="200"/>
        <w:jc w:val="left"/>
        <w:rPr>
          <w:rFonts w:ascii="宋体" w:hAnsi="宋体" w:cs="Tahoma"/>
          <w:sz w:val="28"/>
          <w:szCs w:val="28"/>
        </w:rPr>
      </w:pPr>
      <w:r>
        <w:rPr>
          <w:rFonts w:hint="eastAsia" w:ascii="宋体" w:hAnsi="宋体" w:cs="楷体"/>
          <w:kern w:val="0"/>
          <w:sz w:val="28"/>
          <w:szCs w:val="28"/>
          <w:shd w:val="clear" w:color="auto" w:fill="FFFFFF"/>
        </w:rPr>
        <w:t>6.乙方超市水电费用按月按学院总务处出具的标准与学院结算。</w:t>
      </w:r>
    </w:p>
    <w:p>
      <w:pPr>
        <w:widowControl/>
        <w:shd w:val="clear" w:color="auto" w:fill="FFFFFF"/>
        <w:spacing w:line="500" w:lineRule="atLeast"/>
        <w:ind w:firstLine="560" w:firstLineChars="200"/>
        <w:jc w:val="left"/>
        <w:rPr>
          <w:rFonts w:ascii="宋体" w:hAnsi="宋体" w:cs="Tahoma"/>
          <w:sz w:val="28"/>
          <w:szCs w:val="28"/>
        </w:rPr>
      </w:pPr>
      <w:r>
        <w:rPr>
          <w:rFonts w:hint="eastAsia" w:ascii="宋体" w:hAnsi="宋体" w:cs="楷体"/>
          <w:kern w:val="0"/>
          <w:sz w:val="28"/>
          <w:szCs w:val="28"/>
          <w:shd w:val="clear" w:color="auto" w:fill="FFFFFF"/>
        </w:rPr>
        <w:t>7.乙方要做好超市周围一定范围内的卫生工作，有义务随时清理超市周围的包装等垃圾，做好门前“三包”工作。</w:t>
      </w:r>
    </w:p>
    <w:p>
      <w:pPr>
        <w:widowControl/>
        <w:shd w:val="clear" w:color="auto" w:fill="FFFFFF"/>
        <w:spacing w:line="500" w:lineRule="atLeast"/>
        <w:ind w:firstLine="560" w:firstLineChars="200"/>
        <w:jc w:val="left"/>
        <w:rPr>
          <w:rFonts w:ascii="宋体" w:hAnsi="宋体" w:cs="Tahoma"/>
          <w:sz w:val="28"/>
          <w:szCs w:val="28"/>
        </w:rPr>
      </w:pPr>
      <w:r>
        <w:rPr>
          <w:rFonts w:hint="eastAsia" w:ascii="宋体" w:hAnsi="宋体" w:cs="楷体"/>
          <w:kern w:val="0"/>
          <w:sz w:val="28"/>
          <w:szCs w:val="28"/>
          <w:shd w:val="clear" w:color="auto" w:fill="FFFFFF"/>
        </w:rPr>
        <w:t>8.乙方不得转包，门店营业执照必须是乙方公司经营，学院若发现超市乙方有转包行为，甲方有权随时终止合同。</w:t>
      </w:r>
    </w:p>
    <w:p>
      <w:pPr>
        <w:widowControl/>
        <w:shd w:val="clear" w:color="auto" w:fill="FFFFFF"/>
        <w:spacing w:line="500" w:lineRule="atLeast"/>
        <w:ind w:firstLine="560" w:firstLineChars="200"/>
        <w:jc w:val="left"/>
        <w:rPr>
          <w:rFonts w:ascii="宋体" w:hAnsi="宋体" w:cs="Tahoma"/>
          <w:sz w:val="28"/>
          <w:szCs w:val="28"/>
        </w:rPr>
      </w:pPr>
      <w:r>
        <w:rPr>
          <w:rFonts w:hint="eastAsia" w:ascii="宋体" w:hAnsi="宋体" w:cs="楷体"/>
          <w:kern w:val="0"/>
          <w:sz w:val="28"/>
          <w:szCs w:val="28"/>
          <w:shd w:val="clear" w:color="auto" w:fill="FFFFFF"/>
        </w:rPr>
        <w:t>9.乙方必须使用专业的收银系统，保证所有商品都扫条码销售，所有的销售数据全部进入收银系统，并确保数据的准确性。如果乙方不使用专业的收银系统，则视同经营服务方违约，甲方可无条件单方面解除合同。</w:t>
      </w:r>
    </w:p>
    <w:p>
      <w:pPr>
        <w:spacing w:line="480" w:lineRule="exact"/>
        <w:ind w:firstLine="560" w:firstLineChars="200"/>
        <w:rPr>
          <w:rFonts w:ascii="宋体" w:hAnsi="宋体"/>
          <w:sz w:val="28"/>
          <w:szCs w:val="28"/>
        </w:rPr>
      </w:pPr>
      <w:r>
        <w:rPr>
          <w:rFonts w:hint="eastAsia" w:ascii="宋体" w:hAnsi="宋体"/>
          <w:sz w:val="28"/>
          <w:szCs w:val="28"/>
        </w:rPr>
        <w:t>10.乙方工作人员必须符合国家有关超市从业人员的相关规定（具有健康证等），所发生的相关责任问题，均由乙方负责处理。</w:t>
      </w:r>
    </w:p>
    <w:p>
      <w:pPr>
        <w:spacing w:line="480" w:lineRule="exact"/>
        <w:ind w:firstLine="560" w:firstLineChars="200"/>
        <w:rPr>
          <w:rFonts w:ascii="宋体" w:hAnsi="宋体"/>
          <w:sz w:val="28"/>
          <w:szCs w:val="28"/>
        </w:rPr>
      </w:pPr>
      <w:r>
        <w:rPr>
          <w:rFonts w:hint="eastAsia" w:ascii="宋体" w:hAnsi="宋体"/>
          <w:sz w:val="28"/>
          <w:szCs w:val="28"/>
        </w:rPr>
        <w:t>11.乙方承诺保证按时进场，在   年   月   日前超市正常开业，提供服务。</w:t>
      </w:r>
    </w:p>
    <w:p>
      <w:pPr>
        <w:pStyle w:val="4"/>
        <w:tabs>
          <w:tab w:val="left" w:pos="509"/>
        </w:tabs>
        <w:adjustRightInd w:val="0"/>
        <w:snapToGrid w:val="0"/>
        <w:spacing w:after="0" w:line="480" w:lineRule="exact"/>
        <w:ind w:left="0" w:leftChars="0" w:firstLine="562" w:firstLineChars="200"/>
        <w:rPr>
          <w:rFonts w:ascii="宋体" w:hAnsi="宋体"/>
          <w:kern w:val="0"/>
          <w:sz w:val="28"/>
          <w:szCs w:val="28"/>
        </w:rPr>
      </w:pPr>
      <w:r>
        <w:rPr>
          <w:rFonts w:hint="eastAsia" w:ascii="宋体" w:hAnsi="宋体"/>
          <w:b/>
          <w:kern w:val="0"/>
          <w:sz w:val="28"/>
          <w:szCs w:val="28"/>
        </w:rPr>
        <w:t>三、经营期限</w:t>
      </w:r>
    </w:p>
    <w:p>
      <w:pPr>
        <w:spacing w:line="480" w:lineRule="exact"/>
        <w:ind w:firstLine="560" w:firstLineChars="200"/>
        <w:rPr>
          <w:rFonts w:ascii="宋体" w:hAnsi="宋体"/>
          <w:sz w:val="28"/>
          <w:szCs w:val="28"/>
        </w:rPr>
      </w:pPr>
      <w:r>
        <w:rPr>
          <w:rFonts w:hint="eastAsia" w:ascii="宋体" w:hAnsi="宋体"/>
          <w:sz w:val="28"/>
          <w:szCs w:val="28"/>
        </w:rPr>
        <w:t>经营期限暂定为叁年，自</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日起至</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日止；合同期满后，学校将重新组织招标。</w:t>
      </w:r>
    </w:p>
    <w:p>
      <w:pPr>
        <w:pStyle w:val="4"/>
        <w:tabs>
          <w:tab w:val="left" w:pos="509"/>
        </w:tabs>
        <w:adjustRightInd w:val="0"/>
        <w:snapToGrid w:val="0"/>
        <w:spacing w:after="0" w:line="480" w:lineRule="exact"/>
        <w:ind w:left="0" w:leftChars="0" w:firstLine="562" w:firstLineChars="200"/>
        <w:rPr>
          <w:rFonts w:ascii="宋体" w:hAnsi="宋体"/>
          <w:b/>
          <w:kern w:val="0"/>
          <w:sz w:val="28"/>
          <w:szCs w:val="28"/>
        </w:rPr>
      </w:pPr>
      <w:r>
        <w:rPr>
          <w:rFonts w:hint="eastAsia" w:ascii="宋体" w:hAnsi="宋体"/>
          <w:b/>
          <w:kern w:val="0"/>
          <w:sz w:val="28"/>
          <w:szCs w:val="28"/>
        </w:rPr>
        <w:t>四、经营服务管理费的支付</w:t>
      </w:r>
    </w:p>
    <w:p>
      <w:pPr>
        <w:spacing w:line="480" w:lineRule="exact"/>
        <w:ind w:firstLine="560" w:firstLineChars="200"/>
        <w:rPr>
          <w:rFonts w:ascii="宋体" w:hAnsi="宋体"/>
          <w:sz w:val="28"/>
          <w:szCs w:val="28"/>
        </w:rPr>
      </w:pPr>
      <w:r>
        <w:rPr>
          <w:rFonts w:hint="eastAsia" w:ascii="宋体" w:hAnsi="宋体"/>
          <w:sz w:val="28"/>
          <w:szCs w:val="28"/>
        </w:rPr>
        <w:t>1、乙方每年须向甲方交纳租用校园超市场地经营服务管理费人民币   元，叁年经营服务管理费总额为人民币           元。</w:t>
      </w:r>
    </w:p>
    <w:p>
      <w:pPr>
        <w:spacing w:line="480" w:lineRule="exact"/>
        <w:ind w:firstLine="560" w:firstLineChars="200"/>
        <w:rPr>
          <w:rFonts w:ascii="宋体" w:hAnsi="宋体"/>
          <w:sz w:val="28"/>
          <w:szCs w:val="28"/>
        </w:rPr>
      </w:pPr>
      <w:r>
        <w:rPr>
          <w:rFonts w:hint="eastAsia" w:ascii="宋体" w:hAnsi="宋体"/>
          <w:sz w:val="28"/>
          <w:szCs w:val="28"/>
        </w:rPr>
        <w:t xml:space="preserve">2、管理费每半年支付一次。 </w:t>
      </w:r>
    </w:p>
    <w:p>
      <w:pPr>
        <w:pStyle w:val="4"/>
        <w:tabs>
          <w:tab w:val="left" w:pos="509"/>
        </w:tabs>
        <w:adjustRightInd w:val="0"/>
        <w:snapToGrid w:val="0"/>
        <w:spacing w:after="0" w:line="480" w:lineRule="exact"/>
        <w:ind w:left="0" w:leftChars="0" w:firstLine="562" w:firstLineChars="200"/>
        <w:rPr>
          <w:rFonts w:ascii="宋体" w:hAnsi="宋体"/>
          <w:b/>
          <w:kern w:val="0"/>
          <w:sz w:val="28"/>
          <w:szCs w:val="28"/>
        </w:rPr>
      </w:pPr>
      <w:r>
        <w:rPr>
          <w:rFonts w:hint="eastAsia" w:ascii="宋体" w:hAnsi="宋体"/>
          <w:b/>
          <w:kern w:val="0"/>
          <w:sz w:val="28"/>
          <w:szCs w:val="28"/>
        </w:rPr>
        <w:t>五、履约保证金</w:t>
      </w:r>
    </w:p>
    <w:p>
      <w:pPr>
        <w:spacing w:line="480" w:lineRule="exact"/>
        <w:ind w:firstLine="560" w:firstLineChars="200"/>
        <w:rPr>
          <w:rFonts w:ascii="宋体" w:hAnsi="宋体"/>
          <w:sz w:val="28"/>
          <w:szCs w:val="28"/>
        </w:rPr>
      </w:pPr>
      <w:r>
        <w:rPr>
          <w:rFonts w:hint="eastAsia" w:ascii="宋体" w:hAnsi="宋体" w:cs="宋体"/>
          <w:kern w:val="0"/>
          <w:sz w:val="28"/>
          <w:szCs w:val="28"/>
        </w:rPr>
        <w:t>乙方须在收到成交通知书两个工作日内向甲方一次性交纳3万  元的履约保证金。履约保证金使用：用于经营者违反经营合同、校内外有关管理条例、规</w:t>
      </w:r>
      <w:r>
        <w:rPr>
          <w:rFonts w:hint="eastAsia" w:ascii="宋体" w:hAnsi="宋体"/>
          <w:sz w:val="28"/>
          <w:szCs w:val="28"/>
        </w:rPr>
        <w:t>定、没有按协议经营至期满、经营期内不正常营业、协议期内擅自分包或转包，给学院或师生造成各种损失的补偿。经营期结束且无乙方责任后，该保证金除用以抵充合同约定由乙方承担的费用外，剩余部分无息退还乙方。</w:t>
      </w:r>
    </w:p>
    <w:p>
      <w:pPr>
        <w:spacing w:line="480" w:lineRule="exact"/>
        <w:ind w:firstLine="562" w:firstLineChars="200"/>
        <w:rPr>
          <w:rFonts w:ascii="宋体" w:hAnsi="宋体"/>
          <w:b/>
          <w:kern w:val="0"/>
          <w:sz w:val="28"/>
          <w:szCs w:val="28"/>
        </w:rPr>
      </w:pPr>
      <w:r>
        <w:rPr>
          <w:rFonts w:hint="eastAsia" w:ascii="宋体" w:hAnsi="宋体"/>
          <w:b/>
          <w:kern w:val="0"/>
          <w:sz w:val="28"/>
          <w:szCs w:val="28"/>
        </w:rPr>
        <w:t>六、合同终止及退出</w:t>
      </w:r>
    </w:p>
    <w:p>
      <w:pPr>
        <w:spacing w:line="480" w:lineRule="exact"/>
        <w:ind w:firstLine="560" w:firstLineChars="200"/>
        <w:rPr>
          <w:rFonts w:ascii="宋体" w:hAnsi="宋体"/>
          <w:kern w:val="0"/>
          <w:sz w:val="28"/>
          <w:szCs w:val="28"/>
        </w:rPr>
      </w:pPr>
      <w:r>
        <w:rPr>
          <w:rFonts w:hint="eastAsia" w:ascii="宋体" w:hAnsi="宋体"/>
          <w:kern w:val="0"/>
          <w:sz w:val="28"/>
          <w:szCs w:val="28"/>
        </w:rPr>
        <w:t>1．正常退出</w:t>
      </w:r>
    </w:p>
    <w:p>
      <w:pPr>
        <w:spacing w:line="480" w:lineRule="exact"/>
        <w:ind w:firstLine="560" w:firstLineChars="200"/>
        <w:rPr>
          <w:rFonts w:ascii="宋体" w:hAnsi="宋体"/>
          <w:kern w:val="0"/>
          <w:sz w:val="28"/>
          <w:szCs w:val="28"/>
        </w:rPr>
      </w:pPr>
      <w:r>
        <w:rPr>
          <w:rFonts w:hint="eastAsia" w:ascii="宋体" w:hAnsi="宋体"/>
          <w:kern w:val="0"/>
          <w:sz w:val="28"/>
          <w:szCs w:val="28"/>
        </w:rPr>
        <w:t>合同到期自动终止，正常退出。</w:t>
      </w:r>
    </w:p>
    <w:p>
      <w:pPr>
        <w:spacing w:line="480" w:lineRule="exact"/>
        <w:ind w:firstLine="560" w:firstLineChars="200"/>
        <w:rPr>
          <w:rFonts w:ascii="宋体" w:hAnsi="宋体"/>
          <w:sz w:val="28"/>
          <w:szCs w:val="28"/>
        </w:rPr>
      </w:pPr>
      <w:r>
        <w:rPr>
          <w:rFonts w:hint="eastAsia" w:ascii="宋体" w:hAnsi="宋体"/>
          <w:sz w:val="28"/>
          <w:szCs w:val="28"/>
        </w:rPr>
        <w:t>2．经营期间有下列情况之一，学校将随时终止经营服务合同，责令退出：</w:t>
      </w:r>
    </w:p>
    <w:p>
      <w:pPr>
        <w:spacing w:line="480" w:lineRule="exact"/>
        <w:ind w:firstLine="560" w:firstLineChars="200"/>
        <w:rPr>
          <w:rFonts w:ascii="宋体" w:hAnsi="宋体"/>
          <w:sz w:val="28"/>
          <w:szCs w:val="28"/>
        </w:rPr>
      </w:pPr>
      <w:r>
        <w:rPr>
          <w:rFonts w:hint="eastAsia" w:ascii="宋体" w:hAnsi="宋体"/>
          <w:sz w:val="28"/>
          <w:szCs w:val="28"/>
        </w:rPr>
        <w:t>(1)发生食物中毒的，或因食品安全和服务质量存在问题等引发群体事件造成恶劣影响的；</w:t>
      </w:r>
    </w:p>
    <w:p>
      <w:pPr>
        <w:spacing w:line="480" w:lineRule="exact"/>
        <w:ind w:firstLine="560" w:firstLineChars="200"/>
        <w:rPr>
          <w:rFonts w:ascii="宋体" w:hAnsi="宋体"/>
          <w:sz w:val="28"/>
          <w:szCs w:val="28"/>
        </w:rPr>
      </w:pPr>
      <w:r>
        <w:rPr>
          <w:rFonts w:hint="eastAsia" w:ascii="宋体" w:hAnsi="宋体"/>
          <w:sz w:val="28"/>
          <w:szCs w:val="28"/>
        </w:rPr>
        <w:t>(2)商场发生火灾，或重大安全责任事故的；</w:t>
      </w:r>
    </w:p>
    <w:p>
      <w:pPr>
        <w:spacing w:line="480" w:lineRule="exact"/>
        <w:ind w:firstLine="560" w:firstLineChars="200"/>
        <w:rPr>
          <w:rFonts w:ascii="宋体" w:hAnsi="宋体"/>
          <w:sz w:val="28"/>
          <w:szCs w:val="28"/>
        </w:rPr>
      </w:pPr>
      <w:r>
        <w:rPr>
          <w:rFonts w:hint="eastAsia" w:ascii="宋体" w:hAnsi="宋体"/>
          <w:sz w:val="28"/>
          <w:szCs w:val="28"/>
        </w:rPr>
        <w:t>(3)违反学院社会治安综合治理规定，给学校造成重大不良影响的；</w:t>
      </w:r>
    </w:p>
    <w:p>
      <w:pPr>
        <w:spacing w:line="480" w:lineRule="exact"/>
        <w:ind w:firstLine="560" w:firstLineChars="200"/>
        <w:rPr>
          <w:rFonts w:ascii="宋体" w:hAnsi="宋体"/>
          <w:sz w:val="28"/>
          <w:szCs w:val="28"/>
        </w:rPr>
      </w:pPr>
      <w:r>
        <w:rPr>
          <w:rFonts w:hint="eastAsia" w:ascii="宋体" w:hAnsi="宋体"/>
          <w:sz w:val="28"/>
          <w:szCs w:val="28"/>
        </w:rPr>
        <w:t>(4)企业在经营过程中违法而受到司法部门处理的；</w:t>
      </w:r>
    </w:p>
    <w:p>
      <w:pPr>
        <w:spacing w:line="480" w:lineRule="exact"/>
        <w:ind w:firstLine="560" w:firstLineChars="200"/>
        <w:rPr>
          <w:rFonts w:ascii="宋体" w:hAnsi="宋体"/>
          <w:sz w:val="28"/>
          <w:szCs w:val="28"/>
        </w:rPr>
      </w:pPr>
      <w:r>
        <w:rPr>
          <w:rFonts w:hint="eastAsia" w:ascii="宋体" w:hAnsi="宋体"/>
          <w:sz w:val="28"/>
          <w:szCs w:val="28"/>
        </w:rPr>
        <w:t>(5)在学期中途无故停止营业造成影响的；</w:t>
      </w:r>
    </w:p>
    <w:p>
      <w:pPr>
        <w:spacing w:line="480" w:lineRule="exact"/>
        <w:ind w:firstLine="560" w:firstLineChars="200"/>
        <w:rPr>
          <w:rFonts w:ascii="宋体" w:hAnsi="宋体"/>
          <w:sz w:val="28"/>
          <w:szCs w:val="28"/>
        </w:rPr>
      </w:pPr>
      <w:r>
        <w:rPr>
          <w:rFonts w:hint="eastAsia" w:ascii="宋体" w:hAnsi="宋体"/>
          <w:sz w:val="28"/>
          <w:szCs w:val="28"/>
        </w:rPr>
        <w:t>(6)有其他违规、违约行为的。</w:t>
      </w:r>
    </w:p>
    <w:p>
      <w:pPr>
        <w:spacing w:line="480" w:lineRule="exact"/>
        <w:ind w:firstLine="560" w:firstLineChars="200"/>
        <w:rPr>
          <w:rFonts w:ascii="宋体" w:hAnsi="宋体"/>
          <w:sz w:val="28"/>
          <w:szCs w:val="28"/>
        </w:rPr>
      </w:pPr>
      <w:r>
        <w:rPr>
          <w:rFonts w:hint="eastAsia" w:ascii="宋体" w:hAnsi="宋体"/>
          <w:sz w:val="28"/>
          <w:szCs w:val="28"/>
        </w:rPr>
        <w:t>凡责令退出的经营者须承担由此产生的一切经济损失及法律责任，并在接到退出通知两周内退出；同时甲方不予退还乙方的履约保证金。</w:t>
      </w:r>
    </w:p>
    <w:p>
      <w:pPr>
        <w:pStyle w:val="4"/>
        <w:adjustRightInd w:val="0"/>
        <w:snapToGrid w:val="0"/>
        <w:spacing w:after="0" w:line="480" w:lineRule="exact"/>
        <w:ind w:left="0" w:leftChars="0" w:firstLine="560" w:firstLineChars="200"/>
        <w:rPr>
          <w:rFonts w:ascii="宋体" w:hAnsi="宋体"/>
          <w:kern w:val="0"/>
          <w:sz w:val="28"/>
          <w:szCs w:val="28"/>
        </w:rPr>
      </w:pPr>
      <w:r>
        <w:rPr>
          <w:rFonts w:hint="eastAsia" w:ascii="宋体" w:hAnsi="宋体"/>
          <w:kern w:val="0"/>
          <w:sz w:val="28"/>
          <w:szCs w:val="28"/>
        </w:rPr>
        <w:t>3．乙方在经营服务期间因不规范用工造成的一切法律后果自行负责。</w:t>
      </w:r>
    </w:p>
    <w:p>
      <w:pPr>
        <w:pStyle w:val="4"/>
        <w:tabs>
          <w:tab w:val="left" w:pos="3420"/>
        </w:tabs>
        <w:adjustRightInd w:val="0"/>
        <w:snapToGrid w:val="0"/>
        <w:spacing w:after="0" w:line="480" w:lineRule="exact"/>
        <w:ind w:left="0" w:leftChars="0" w:firstLine="551" w:firstLineChars="196"/>
        <w:rPr>
          <w:rFonts w:ascii="宋体" w:hAnsi="宋体"/>
          <w:b/>
          <w:kern w:val="0"/>
          <w:sz w:val="28"/>
          <w:szCs w:val="28"/>
        </w:rPr>
      </w:pPr>
      <w:r>
        <w:rPr>
          <w:rFonts w:hint="eastAsia" w:ascii="宋体" w:hAnsi="宋体"/>
          <w:b/>
          <w:kern w:val="0"/>
          <w:sz w:val="28"/>
          <w:szCs w:val="28"/>
        </w:rPr>
        <w:t>七、违约责任</w:t>
      </w:r>
    </w:p>
    <w:p>
      <w:pPr>
        <w:pStyle w:val="4"/>
        <w:tabs>
          <w:tab w:val="left" w:pos="3420"/>
        </w:tabs>
        <w:adjustRightInd w:val="0"/>
        <w:snapToGrid w:val="0"/>
        <w:spacing w:after="0" w:line="480" w:lineRule="exact"/>
        <w:ind w:left="0" w:leftChars="0" w:firstLine="555"/>
        <w:rPr>
          <w:rFonts w:ascii="宋体" w:hAnsi="宋体"/>
          <w:kern w:val="0"/>
          <w:sz w:val="28"/>
          <w:szCs w:val="28"/>
        </w:rPr>
      </w:pPr>
      <w:r>
        <w:rPr>
          <w:rFonts w:hint="eastAsia" w:ascii="宋体" w:hAnsi="宋体"/>
          <w:kern w:val="0"/>
          <w:sz w:val="28"/>
          <w:szCs w:val="28"/>
        </w:rPr>
        <w:t>1．甲、乙双方必须严格执行本合同中的各项条款，如单方违约，违约方要依法承担违约责任。</w:t>
      </w:r>
    </w:p>
    <w:p>
      <w:pPr>
        <w:pStyle w:val="4"/>
        <w:tabs>
          <w:tab w:val="left" w:pos="509"/>
        </w:tabs>
        <w:adjustRightInd w:val="0"/>
        <w:snapToGrid w:val="0"/>
        <w:spacing w:after="0" w:line="480" w:lineRule="exact"/>
        <w:ind w:left="0" w:leftChars="0" w:firstLine="560" w:firstLineChars="200"/>
        <w:rPr>
          <w:rFonts w:ascii="宋体" w:hAnsi="宋体"/>
          <w:kern w:val="0"/>
          <w:sz w:val="28"/>
          <w:szCs w:val="28"/>
        </w:rPr>
      </w:pPr>
      <w:r>
        <w:rPr>
          <w:rFonts w:hint="eastAsia" w:ascii="宋体" w:hAnsi="宋体"/>
          <w:kern w:val="0"/>
          <w:sz w:val="28"/>
          <w:szCs w:val="28"/>
        </w:rPr>
        <w:t>2．本合同签订后，无特殊情况，在经营期内甲乙双方均不得提出悔约。如遇特殊情况乙方中途悔约须提前一个月提出，待甲方找到合适续标人后，乙方方可办理移交，有关费用结算至移交日。</w:t>
      </w:r>
    </w:p>
    <w:p>
      <w:pPr>
        <w:pStyle w:val="4"/>
        <w:tabs>
          <w:tab w:val="left" w:pos="509"/>
        </w:tabs>
        <w:adjustRightInd w:val="0"/>
        <w:snapToGrid w:val="0"/>
        <w:spacing w:after="0" w:line="480" w:lineRule="exact"/>
        <w:ind w:left="0" w:leftChars="0" w:firstLine="562" w:firstLineChars="200"/>
        <w:rPr>
          <w:rFonts w:ascii="宋体" w:hAnsi="宋体"/>
          <w:kern w:val="0"/>
          <w:sz w:val="28"/>
          <w:szCs w:val="28"/>
        </w:rPr>
      </w:pPr>
      <w:r>
        <w:rPr>
          <w:rFonts w:hint="eastAsia" w:ascii="宋体" w:hAnsi="宋体"/>
          <w:b/>
          <w:kern w:val="0"/>
          <w:sz w:val="28"/>
          <w:szCs w:val="28"/>
        </w:rPr>
        <w:t>八、</w:t>
      </w:r>
      <w:r>
        <w:rPr>
          <w:rFonts w:hint="eastAsia" w:ascii="宋体" w:hAnsi="宋体"/>
          <w:kern w:val="0"/>
          <w:sz w:val="28"/>
          <w:szCs w:val="28"/>
        </w:rPr>
        <w:t>甲乙双方因履约产生任何争议，双方应友好协商解决。协商不成，双方同意提请蚌埠市仲裁委员会仲裁，或者提交甲方住所地人民法院诉讼解决。</w:t>
      </w:r>
    </w:p>
    <w:p>
      <w:pPr>
        <w:pStyle w:val="4"/>
        <w:tabs>
          <w:tab w:val="left" w:pos="509"/>
        </w:tabs>
        <w:adjustRightInd w:val="0"/>
        <w:snapToGrid w:val="0"/>
        <w:spacing w:after="0" w:line="480" w:lineRule="exact"/>
        <w:ind w:left="0" w:leftChars="0" w:firstLine="562" w:firstLineChars="200"/>
        <w:rPr>
          <w:rFonts w:ascii="宋体" w:hAnsi="宋体"/>
          <w:b/>
          <w:kern w:val="0"/>
          <w:sz w:val="28"/>
          <w:szCs w:val="28"/>
        </w:rPr>
      </w:pPr>
      <w:r>
        <w:rPr>
          <w:rFonts w:hint="eastAsia" w:ascii="宋体" w:hAnsi="宋体"/>
          <w:b/>
          <w:kern w:val="0"/>
          <w:sz w:val="28"/>
          <w:szCs w:val="28"/>
        </w:rPr>
        <w:t>九、本合同解释权归安徽电子信息职业技术学院。</w:t>
      </w:r>
    </w:p>
    <w:p>
      <w:pPr>
        <w:pStyle w:val="4"/>
        <w:tabs>
          <w:tab w:val="left" w:pos="509"/>
        </w:tabs>
        <w:adjustRightInd w:val="0"/>
        <w:snapToGrid w:val="0"/>
        <w:spacing w:after="0" w:line="480" w:lineRule="exact"/>
        <w:ind w:left="0" w:leftChars="0" w:firstLine="562" w:firstLineChars="200"/>
        <w:rPr>
          <w:rFonts w:ascii="宋体" w:hAnsi="宋体"/>
          <w:b/>
          <w:kern w:val="0"/>
          <w:sz w:val="28"/>
          <w:szCs w:val="28"/>
        </w:rPr>
      </w:pPr>
      <w:r>
        <w:rPr>
          <w:rFonts w:hint="eastAsia" w:ascii="宋体" w:hAnsi="宋体"/>
          <w:b/>
          <w:kern w:val="0"/>
          <w:sz w:val="28"/>
          <w:szCs w:val="28"/>
        </w:rPr>
        <w:t>十、本合同一式陆份，甲方执肆份，乙方执贰份。</w:t>
      </w:r>
    </w:p>
    <w:p>
      <w:pPr>
        <w:pStyle w:val="4"/>
        <w:tabs>
          <w:tab w:val="left" w:pos="509"/>
        </w:tabs>
        <w:adjustRightInd w:val="0"/>
        <w:snapToGrid w:val="0"/>
        <w:spacing w:after="0" w:line="480" w:lineRule="exact"/>
        <w:ind w:left="0" w:leftChars="0" w:firstLine="562" w:firstLineChars="200"/>
        <w:rPr>
          <w:rFonts w:ascii="宋体" w:hAnsi="宋体"/>
          <w:b/>
          <w:kern w:val="0"/>
          <w:sz w:val="28"/>
          <w:szCs w:val="28"/>
        </w:rPr>
      </w:pPr>
      <w:r>
        <w:rPr>
          <w:rFonts w:hint="eastAsia" w:ascii="宋体" w:hAnsi="宋体"/>
          <w:b/>
          <w:kern w:val="0"/>
          <w:sz w:val="28"/>
          <w:szCs w:val="28"/>
        </w:rPr>
        <w:t>十一、本合同自双方签字之日起生效。</w:t>
      </w:r>
    </w:p>
    <w:p>
      <w:pPr>
        <w:pStyle w:val="4"/>
        <w:tabs>
          <w:tab w:val="left" w:pos="509"/>
        </w:tabs>
        <w:adjustRightInd w:val="0"/>
        <w:snapToGrid w:val="0"/>
        <w:spacing w:after="0" w:line="480" w:lineRule="exact"/>
        <w:ind w:left="0" w:leftChars="0" w:firstLine="562" w:firstLineChars="200"/>
        <w:rPr>
          <w:rFonts w:ascii="宋体" w:hAnsi="宋体"/>
          <w:b/>
          <w:kern w:val="0"/>
          <w:sz w:val="28"/>
          <w:szCs w:val="28"/>
        </w:rPr>
      </w:pPr>
    </w:p>
    <w:p>
      <w:pPr>
        <w:pStyle w:val="4"/>
        <w:adjustRightInd w:val="0"/>
        <w:snapToGrid w:val="0"/>
        <w:spacing w:after="0" w:line="480" w:lineRule="exact"/>
        <w:ind w:left="0" w:leftChars="0" w:firstLine="560" w:firstLineChars="200"/>
        <w:rPr>
          <w:rFonts w:ascii="宋体" w:hAnsi="宋体"/>
          <w:kern w:val="0"/>
          <w:sz w:val="28"/>
          <w:szCs w:val="28"/>
        </w:rPr>
      </w:pPr>
      <w:r>
        <w:rPr>
          <w:rFonts w:hint="eastAsia" w:ascii="宋体" w:hAnsi="宋体"/>
          <w:kern w:val="0"/>
          <w:sz w:val="28"/>
          <w:szCs w:val="28"/>
        </w:rPr>
        <w:t>甲方（盖章）：                乙方（盖章）：</w:t>
      </w:r>
    </w:p>
    <w:p>
      <w:pPr>
        <w:pStyle w:val="4"/>
        <w:adjustRightInd w:val="0"/>
        <w:snapToGrid w:val="0"/>
        <w:spacing w:after="0" w:line="360" w:lineRule="exact"/>
        <w:ind w:left="0" w:leftChars="0" w:firstLine="1260" w:firstLineChars="450"/>
        <w:rPr>
          <w:rFonts w:ascii="宋体" w:hAnsi="宋体"/>
          <w:kern w:val="0"/>
          <w:sz w:val="28"/>
          <w:szCs w:val="28"/>
        </w:rPr>
      </w:pPr>
    </w:p>
    <w:p>
      <w:pPr>
        <w:pStyle w:val="4"/>
        <w:adjustRightInd w:val="0"/>
        <w:snapToGrid w:val="0"/>
        <w:spacing w:after="0" w:line="480" w:lineRule="exact"/>
        <w:ind w:left="0" w:leftChars="0" w:firstLine="560" w:firstLineChars="200"/>
        <w:rPr>
          <w:rFonts w:ascii="宋体" w:hAnsi="宋体"/>
          <w:kern w:val="0"/>
          <w:sz w:val="28"/>
          <w:szCs w:val="28"/>
        </w:rPr>
      </w:pPr>
      <w:r>
        <w:rPr>
          <w:rFonts w:hint="eastAsia" w:ascii="宋体" w:hAnsi="宋体"/>
          <w:kern w:val="0"/>
          <w:sz w:val="28"/>
          <w:szCs w:val="28"/>
        </w:rPr>
        <w:t>甲方代表：                    乙方代表：</w:t>
      </w:r>
    </w:p>
    <w:p>
      <w:pPr>
        <w:spacing w:line="480" w:lineRule="exact"/>
        <w:ind w:firstLine="1540" w:firstLineChars="550"/>
        <w:rPr>
          <w:rFonts w:ascii="宋体" w:hAnsi="宋体"/>
          <w:kern w:val="0"/>
          <w:sz w:val="28"/>
          <w:szCs w:val="28"/>
        </w:rPr>
      </w:pPr>
    </w:p>
    <w:p>
      <w:pPr>
        <w:spacing w:line="480" w:lineRule="exact"/>
        <w:ind w:firstLine="1120" w:firstLineChars="400"/>
        <w:rPr>
          <w:rFonts w:ascii="宋体" w:hAnsi="宋体"/>
          <w:kern w:val="0"/>
          <w:sz w:val="28"/>
          <w:szCs w:val="28"/>
        </w:rPr>
      </w:pPr>
      <w:r>
        <w:rPr>
          <w:rFonts w:hint="eastAsia" w:ascii="宋体" w:hAnsi="宋体"/>
          <w:kern w:val="0"/>
          <w:sz w:val="28"/>
          <w:szCs w:val="28"/>
        </w:rPr>
        <w:t>年   月   日                   年   月   日</w:t>
      </w:r>
    </w:p>
    <w:p>
      <w:pPr>
        <w:spacing w:line="360" w:lineRule="auto"/>
        <w:ind w:firstLine="480" w:firstLineChars="200"/>
        <w:rPr>
          <w:rFonts w:ascii="宋体" w:hAnsi="宋体"/>
          <w:sz w:val="24"/>
        </w:rPr>
      </w:pPr>
    </w:p>
    <w:p>
      <w:pPr>
        <w:pStyle w:val="2"/>
        <w:spacing w:line="360" w:lineRule="auto"/>
        <w:jc w:val="center"/>
        <w:rPr>
          <w:rFonts w:ascii="宋体" w:hAnsi="宋体"/>
          <w:color w:val="000000"/>
          <w:sz w:val="36"/>
          <w:szCs w:val="36"/>
          <w:lang w:val="ru-RU"/>
        </w:rPr>
      </w:pPr>
    </w:p>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Arial Black">
    <w:panose1 w:val="020B0A04020102020204"/>
    <w:charset w:val="00"/>
    <w:family w:val="swiss"/>
    <w:pitch w:val="default"/>
    <w:sig w:usb0="00000287" w:usb1="00000000" w:usb2="00000000" w:usb3="00000000" w:csb0="2000009F" w:csb1="DFD70000"/>
  </w:font>
  <w:font w:name="微软简标宋">
    <w:altName w:val="黑体"/>
    <w:panose1 w:val="00000000000000000000"/>
    <w:charset w:val="86"/>
    <w:family w:val="auto"/>
    <w:pitch w:val="default"/>
    <w:sig w:usb0="00000000" w:usb1="00000000" w:usb2="0000001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60C"/>
    <w:rsid w:val="0003508E"/>
    <w:rsid w:val="00045507"/>
    <w:rsid w:val="000C5E4F"/>
    <w:rsid w:val="000E0C38"/>
    <w:rsid w:val="001062A1"/>
    <w:rsid w:val="00106F25"/>
    <w:rsid w:val="00171DDB"/>
    <w:rsid w:val="001819B2"/>
    <w:rsid w:val="001D7562"/>
    <w:rsid w:val="00202EB5"/>
    <w:rsid w:val="002E090B"/>
    <w:rsid w:val="00312961"/>
    <w:rsid w:val="00323B43"/>
    <w:rsid w:val="00345C7A"/>
    <w:rsid w:val="00345D46"/>
    <w:rsid w:val="00356E9D"/>
    <w:rsid w:val="00367B01"/>
    <w:rsid w:val="003C7BDC"/>
    <w:rsid w:val="003D37D8"/>
    <w:rsid w:val="003E6830"/>
    <w:rsid w:val="004358AB"/>
    <w:rsid w:val="004718D1"/>
    <w:rsid w:val="004A5F38"/>
    <w:rsid w:val="004A60D9"/>
    <w:rsid w:val="004F4E86"/>
    <w:rsid w:val="00546389"/>
    <w:rsid w:val="005962A5"/>
    <w:rsid w:val="0060155B"/>
    <w:rsid w:val="00623AC1"/>
    <w:rsid w:val="0069557B"/>
    <w:rsid w:val="006C318D"/>
    <w:rsid w:val="006F2FD3"/>
    <w:rsid w:val="00704979"/>
    <w:rsid w:val="00721BEE"/>
    <w:rsid w:val="00736EF9"/>
    <w:rsid w:val="00764235"/>
    <w:rsid w:val="0076471A"/>
    <w:rsid w:val="00825E1B"/>
    <w:rsid w:val="00886B19"/>
    <w:rsid w:val="008B7726"/>
    <w:rsid w:val="008C42EB"/>
    <w:rsid w:val="00910AC4"/>
    <w:rsid w:val="00932144"/>
    <w:rsid w:val="009877B5"/>
    <w:rsid w:val="009901E9"/>
    <w:rsid w:val="00994ADB"/>
    <w:rsid w:val="009A3426"/>
    <w:rsid w:val="009E33AA"/>
    <w:rsid w:val="009F1980"/>
    <w:rsid w:val="00A335EC"/>
    <w:rsid w:val="00A65A55"/>
    <w:rsid w:val="00AC4D34"/>
    <w:rsid w:val="00B11703"/>
    <w:rsid w:val="00B372D2"/>
    <w:rsid w:val="00B7210D"/>
    <w:rsid w:val="00BB4872"/>
    <w:rsid w:val="00BD58C0"/>
    <w:rsid w:val="00C010C1"/>
    <w:rsid w:val="00C0660C"/>
    <w:rsid w:val="00C10E85"/>
    <w:rsid w:val="00C5076B"/>
    <w:rsid w:val="00C61899"/>
    <w:rsid w:val="00CB6E4D"/>
    <w:rsid w:val="00CE0745"/>
    <w:rsid w:val="00CE2D97"/>
    <w:rsid w:val="00D06E16"/>
    <w:rsid w:val="00D10E51"/>
    <w:rsid w:val="00D27BC5"/>
    <w:rsid w:val="00D52723"/>
    <w:rsid w:val="00D63718"/>
    <w:rsid w:val="00DB0683"/>
    <w:rsid w:val="00DF1FA9"/>
    <w:rsid w:val="00DF6509"/>
    <w:rsid w:val="00E42B2A"/>
    <w:rsid w:val="00E65881"/>
    <w:rsid w:val="00EA6ED8"/>
    <w:rsid w:val="00EE7A89"/>
    <w:rsid w:val="00F13880"/>
    <w:rsid w:val="00F92656"/>
    <w:rsid w:val="00FD23F1"/>
    <w:rsid w:val="00FE3101"/>
    <w:rsid w:val="0124189C"/>
    <w:rsid w:val="01CD1A77"/>
    <w:rsid w:val="02006F94"/>
    <w:rsid w:val="035A76B9"/>
    <w:rsid w:val="035D3C1A"/>
    <w:rsid w:val="05966383"/>
    <w:rsid w:val="06812B78"/>
    <w:rsid w:val="074F54C2"/>
    <w:rsid w:val="0A350905"/>
    <w:rsid w:val="0BB35EF5"/>
    <w:rsid w:val="0D1A6D9D"/>
    <w:rsid w:val="0F155380"/>
    <w:rsid w:val="11417A90"/>
    <w:rsid w:val="126D7054"/>
    <w:rsid w:val="127867B9"/>
    <w:rsid w:val="12A97072"/>
    <w:rsid w:val="148544B3"/>
    <w:rsid w:val="15AA217E"/>
    <w:rsid w:val="16EA1323"/>
    <w:rsid w:val="1B953CE2"/>
    <w:rsid w:val="1BC9751D"/>
    <w:rsid w:val="1E171AB4"/>
    <w:rsid w:val="1F660B51"/>
    <w:rsid w:val="1FC3175E"/>
    <w:rsid w:val="206A2046"/>
    <w:rsid w:val="20E4798F"/>
    <w:rsid w:val="228233E5"/>
    <w:rsid w:val="24AC0948"/>
    <w:rsid w:val="267371C7"/>
    <w:rsid w:val="279B6873"/>
    <w:rsid w:val="28753BFC"/>
    <w:rsid w:val="2AD2119A"/>
    <w:rsid w:val="2B8F5C03"/>
    <w:rsid w:val="2C53513C"/>
    <w:rsid w:val="2C72127F"/>
    <w:rsid w:val="2D845419"/>
    <w:rsid w:val="2F3B0228"/>
    <w:rsid w:val="30230008"/>
    <w:rsid w:val="310C3DC9"/>
    <w:rsid w:val="33211B1A"/>
    <w:rsid w:val="33BB50F3"/>
    <w:rsid w:val="343F3577"/>
    <w:rsid w:val="34760247"/>
    <w:rsid w:val="371E6D99"/>
    <w:rsid w:val="38523230"/>
    <w:rsid w:val="3858499D"/>
    <w:rsid w:val="398C6B31"/>
    <w:rsid w:val="39FA0C25"/>
    <w:rsid w:val="3A4C2A77"/>
    <w:rsid w:val="3BFD6278"/>
    <w:rsid w:val="3C33192B"/>
    <w:rsid w:val="3CE229DC"/>
    <w:rsid w:val="3DA00D30"/>
    <w:rsid w:val="3F3008CC"/>
    <w:rsid w:val="415A1E3C"/>
    <w:rsid w:val="41D963C1"/>
    <w:rsid w:val="438B3E70"/>
    <w:rsid w:val="43A647EA"/>
    <w:rsid w:val="44A20521"/>
    <w:rsid w:val="44CC2E45"/>
    <w:rsid w:val="44D60DB6"/>
    <w:rsid w:val="45A8721B"/>
    <w:rsid w:val="46E93606"/>
    <w:rsid w:val="473D6C32"/>
    <w:rsid w:val="48F76274"/>
    <w:rsid w:val="49BD1CDE"/>
    <w:rsid w:val="49CB1AED"/>
    <w:rsid w:val="4A5665D6"/>
    <w:rsid w:val="4A960C1E"/>
    <w:rsid w:val="4B107A79"/>
    <w:rsid w:val="4B3A502F"/>
    <w:rsid w:val="4BA46168"/>
    <w:rsid w:val="4D48773B"/>
    <w:rsid w:val="4D752EF9"/>
    <w:rsid w:val="4E413C20"/>
    <w:rsid w:val="4F6C1DAC"/>
    <w:rsid w:val="4FFB02BA"/>
    <w:rsid w:val="51B47808"/>
    <w:rsid w:val="52A112B2"/>
    <w:rsid w:val="52FE5173"/>
    <w:rsid w:val="53974CD3"/>
    <w:rsid w:val="53BC5032"/>
    <w:rsid w:val="54E26E64"/>
    <w:rsid w:val="550E1AA9"/>
    <w:rsid w:val="554F3BB8"/>
    <w:rsid w:val="596E2D61"/>
    <w:rsid w:val="59867AE2"/>
    <w:rsid w:val="5E6E5590"/>
    <w:rsid w:val="5E8A047E"/>
    <w:rsid w:val="5EAC030F"/>
    <w:rsid w:val="5FEC528B"/>
    <w:rsid w:val="60530A82"/>
    <w:rsid w:val="60C56B7E"/>
    <w:rsid w:val="60DA5978"/>
    <w:rsid w:val="61A41A86"/>
    <w:rsid w:val="620C4FDE"/>
    <w:rsid w:val="655A29EE"/>
    <w:rsid w:val="66630ADA"/>
    <w:rsid w:val="66D23E93"/>
    <w:rsid w:val="67791A6B"/>
    <w:rsid w:val="678D2F83"/>
    <w:rsid w:val="67B81F4A"/>
    <w:rsid w:val="68BD766A"/>
    <w:rsid w:val="6A425B87"/>
    <w:rsid w:val="6AFA3F59"/>
    <w:rsid w:val="6BCA0D3D"/>
    <w:rsid w:val="6C78751B"/>
    <w:rsid w:val="6CE271E4"/>
    <w:rsid w:val="6FE17A43"/>
    <w:rsid w:val="709A7415"/>
    <w:rsid w:val="71133208"/>
    <w:rsid w:val="71726FFE"/>
    <w:rsid w:val="77142A32"/>
    <w:rsid w:val="79B2480F"/>
    <w:rsid w:val="7A4D0BFF"/>
    <w:rsid w:val="7B390852"/>
    <w:rsid w:val="7DFE5C0A"/>
    <w:rsid w:val="7FC27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1"/>
    <w:semiHidden/>
    <w:unhideWhenUsed/>
    <w:qFormat/>
    <w:uiPriority w:val="0"/>
    <w:pPr>
      <w:keepNext/>
      <w:keepLines/>
      <w:spacing w:before="260" w:after="260" w:line="412" w:lineRule="auto"/>
      <w:outlineLvl w:val="1"/>
    </w:pPr>
    <w:rPr>
      <w:rFonts w:ascii="Arial" w:hAnsi="Arial" w:eastAsia="黑体"/>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Indent 2"/>
    <w:basedOn w:val="1"/>
    <w:link w:val="13"/>
    <w:semiHidden/>
    <w:unhideWhenUsed/>
    <w:qFormat/>
    <w:uiPriority w:val="0"/>
    <w:pPr>
      <w:spacing w:after="120" w:line="480" w:lineRule="auto"/>
      <w:ind w:left="420" w:leftChars="200"/>
    </w:pPr>
  </w:style>
  <w:style w:type="paragraph" w:styleId="5">
    <w:name w:val="Balloon Text"/>
    <w:basedOn w:val="1"/>
    <w:link w:val="16"/>
    <w:semiHidden/>
    <w:unhideWhenUsed/>
    <w:qFormat/>
    <w:uiPriority w:val="99"/>
    <w:rPr>
      <w:sz w:val="18"/>
      <w:szCs w:val="18"/>
    </w:r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Normal_29"/>
    <w:qFormat/>
    <w:uiPriority w:val="0"/>
    <w:pPr>
      <w:spacing w:before="120" w:after="240"/>
      <w:jc w:val="both"/>
    </w:pPr>
    <w:rPr>
      <w:rFonts w:ascii="等线" w:hAnsi="等线" w:eastAsia="等线" w:cs="Times New Roman"/>
      <w:sz w:val="22"/>
      <w:szCs w:val="22"/>
      <w:lang w:val="ru-RU" w:eastAsia="en-US" w:bidi="ar-SA"/>
    </w:rPr>
  </w:style>
  <w:style w:type="character" w:customStyle="1" w:styleId="11">
    <w:name w:val="标题 2 Char"/>
    <w:basedOn w:val="9"/>
    <w:link w:val="3"/>
    <w:semiHidden/>
    <w:qFormat/>
    <w:uiPriority w:val="0"/>
    <w:rPr>
      <w:rFonts w:ascii="Arial" w:hAnsi="Arial" w:eastAsia="黑体"/>
      <w:b/>
      <w:bCs/>
      <w:kern w:val="2"/>
      <w:sz w:val="32"/>
      <w:szCs w:val="32"/>
    </w:rPr>
  </w:style>
  <w:style w:type="character" w:customStyle="1" w:styleId="12">
    <w:name w:val="标题 1 Char"/>
    <w:basedOn w:val="9"/>
    <w:link w:val="2"/>
    <w:qFormat/>
    <w:uiPriority w:val="0"/>
    <w:rPr>
      <w:b/>
      <w:bCs/>
      <w:kern w:val="44"/>
      <w:sz w:val="44"/>
      <w:szCs w:val="44"/>
    </w:rPr>
  </w:style>
  <w:style w:type="character" w:customStyle="1" w:styleId="13">
    <w:name w:val="正文文本缩进 2 Char"/>
    <w:basedOn w:val="9"/>
    <w:link w:val="4"/>
    <w:semiHidden/>
    <w:qFormat/>
    <w:uiPriority w:val="0"/>
    <w:rPr>
      <w:kern w:val="2"/>
      <w:sz w:val="21"/>
      <w:szCs w:val="24"/>
    </w:rPr>
  </w:style>
  <w:style w:type="character" w:customStyle="1" w:styleId="14">
    <w:name w:val="页眉 Char"/>
    <w:basedOn w:val="9"/>
    <w:link w:val="7"/>
    <w:semiHidden/>
    <w:qFormat/>
    <w:uiPriority w:val="99"/>
    <w:rPr>
      <w:kern w:val="2"/>
      <w:sz w:val="18"/>
      <w:szCs w:val="18"/>
    </w:rPr>
  </w:style>
  <w:style w:type="character" w:customStyle="1" w:styleId="15">
    <w:name w:val="页脚 Char"/>
    <w:basedOn w:val="9"/>
    <w:link w:val="6"/>
    <w:semiHidden/>
    <w:qFormat/>
    <w:uiPriority w:val="99"/>
    <w:rPr>
      <w:kern w:val="2"/>
      <w:sz w:val="18"/>
      <w:szCs w:val="18"/>
    </w:rPr>
  </w:style>
  <w:style w:type="character" w:customStyle="1" w:styleId="16">
    <w:name w:val="批注框文本 Char"/>
    <w:basedOn w:val="9"/>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10</Pages>
  <Words>792</Words>
  <Characters>4520</Characters>
  <Lines>37</Lines>
  <Paragraphs>10</Paragraphs>
  <TotalTime>1</TotalTime>
  <ScaleCrop>false</ScaleCrop>
  <LinksUpToDate>false</LinksUpToDate>
  <CharactersWithSpaces>5302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2017-07-12T06:39:00Z</dcterms:created>
  <dc:creator>ad</dc:creator>
  <cp:lastModifiedBy>王建</cp:lastModifiedBy>
  <cp:lastPrinted>2020-07-27T02:49:00Z</cp:lastPrinted>
  <dcterms:modified xsi:type="dcterms:W3CDTF">2020-07-29T01:18:01Z</dcterms:modified>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